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206" w14:textId="77777777" w:rsidR="00E77031" w:rsidRDefault="00E770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173A22D6" w14:textId="77777777" w:rsidR="00E77031" w:rsidRDefault="00E77031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7031" w14:paraId="5829779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1721" w14:textId="77777777" w:rsidR="00E77031" w:rsidRDefault="00E770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06FC" w14:textId="77777777" w:rsidR="00E77031" w:rsidRDefault="00E77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5BBBA6" w14:textId="4DECCFC6" w:rsidR="00E77031" w:rsidRDefault="00E77031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C1CC" w14:textId="77777777" w:rsidR="00E77031" w:rsidRDefault="00E77031">
            <w:pPr>
              <w:pStyle w:val="ConsPlusNormal"/>
            </w:pPr>
          </w:p>
        </w:tc>
      </w:tr>
    </w:tbl>
    <w:p w14:paraId="49DCC1F4" w14:textId="77777777" w:rsidR="00E77031" w:rsidRDefault="00E77031">
      <w:pPr>
        <w:pStyle w:val="ConsPlusNormal"/>
        <w:spacing w:before="480"/>
      </w:pPr>
      <w:r>
        <w:rPr>
          <w:b/>
          <w:sz w:val="38"/>
        </w:rPr>
        <w:t>Какие нарушения (риски) могут выявить при проверке использования средств на оплату труда, денежное содержание и иные стимулирующие выплаты</w:t>
      </w:r>
    </w:p>
    <w:p w14:paraId="35098409" w14:textId="77777777" w:rsidR="00E77031" w:rsidRDefault="00E770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E77031" w14:paraId="716A76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14E" w14:textId="77777777" w:rsidR="00E77031" w:rsidRDefault="00E77031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B47B" w14:textId="77777777" w:rsidR="00E77031" w:rsidRDefault="00E77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7DF8FAD" w14:textId="77777777" w:rsidR="00E77031" w:rsidRDefault="00E77031">
            <w:pPr>
              <w:pStyle w:val="ConsPlusNormal"/>
              <w:jc w:val="both"/>
            </w:pPr>
            <w:r>
              <w:t>Несоблюдение требований законодательных и иных актов, регулирующих данный вопрос, органы контроля рассматривают как нарушение. Например, им считают превышение предельного уровня соотношения среднемесячной зарплаты руководителей, их заместителей, главных бухгалтеров и среднемесячной зарплаты работников учреждения, отсутствие первичных учетных документов по начислению и выплате зарплаты.</w:t>
            </w:r>
          </w:p>
          <w:p w14:paraId="4697B424" w14:textId="77777777" w:rsidR="00E77031" w:rsidRDefault="00E77031">
            <w:pPr>
              <w:pStyle w:val="ConsPlusNormal"/>
              <w:jc w:val="both"/>
            </w:pPr>
            <w:r>
              <w:t>Нарушения фиксируют в акте проверки и представлении, направляемых объекту контроля, а также в отчете по результатам контрольных мероприятий.</w:t>
            </w:r>
          </w:p>
          <w:p w14:paraId="44E6B02E" w14:textId="77777777" w:rsidR="00E77031" w:rsidRDefault="00E77031">
            <w:pPr>
              <w:pStyle w:val="ConsPlusNormal"/>
              <w:jc w:val="both"/>
            </w:pPr>
            <w:r>
              <w:t>За нарушения могут привлечь к административной и дисциплинарной ответственности.</w:t>
            </w:r>
          </w:p>
          <w:p w14:paraId="6101AC27" w14:textId="77777777" w:rsidR="00E77031" w:rsidRDefault="00E77031">
            <w:pPr>
              <w:pStyle w:val="ConsPlusNormal"/>
              <w:jc w:val="both"/>
            </w:pPr>
            <w:r>
              <w:t>Нецелевое расходование средств на сумму более 1,5 млн руб. является преступлением. Должностные лица несут за него уголовную ответственность.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2D09" w14:textId="77777777" w:rsidR="00E77031" w:rsidRDefault="00E77031">
            <w:pPr>
              <w:pStyle w:val="ConsPlusNormal"/>
            </w:pPr>
          </w:p>
        </w:tc>
      </w:tr>
    </w:tbl>
    <w:p w14:paraId="1C40C5DE" w14:textId="77777777" w:rsidR="00E77031" w:rsidRDefault="00E77031">
      <w:pPr>
        <w:pStyle w:val="ConsPlusNormal"/>
        <w:spacing w:before="400"/>
        <w:jc w:val="both"/>
      </w:pPr>
    </w:p>
    <w:p w14:paraId="7BF39F00" w14:textId="77777777" w:rsidR="00E77031" w:rsidRDefault="00E77031">
      <w:pPr>
        <w:pStyle w:val="ConsPlusNormal"/>
      </w:pPr>
      <w:r>
        <w:rPr>
          <w:b/>
          <w:sz w:val="32"/>
        </w:rPr>
        <w:t>Оглавление:</w:t>
      </w:r>
    </w:p>
    <w:p w14:paraId="4C27BC89" w14:textId="77777777" w:rsidR="00E77031" w:rsidRDefault="00E77031">
      <w:pPr>
        <w:pStyle w:val="ConsPlusNormal"/>
        <w:spacing w:before="340"/>
        <w:ind w:left="180"/>
      </w:pPr>
      <w:r>
        <w:t xml:space="preserve">1. </w:t>
      </w:r>
      <w:hyperlink w:anchor="P14">
        <w:r>
          <w:rPr>
            <w:color w:val="0000FF"/>
          </w:rPr>
          <w:t>Какие действия рассматриваются как нарушения порядка использования средств на оплату труда</w:t>
        </w:r>
      </w:hyperlink>
    </w:p>
    <w:p w14:paraId="2B789F39" w14:textId="77777777" w:rsidR="00E77031" w:rsidRDefault="00E77031">
      <w:pPr>
        <w:pStyle w:val="ConsPlusNormal"/>
        <w:ind w:left="180"/>
      </w:pPr>
      <w:r>
        <w:t xml:space="preserve">2. </w:t>
      </w:r>
      <w:hyperlink w:anchor="P36">
        <w:r>
          <w:rPr>
            <w:color w:val="0000FF"/>
          </w:rPr>
          <w:t>Как фиксируют нарушения порядка использования средств на оплату труда</w:t>
        </w:r>
      </w:hyperlink>
    </w:p>
    <w:p w14:paraId="4D81242C" w14:textId="77777777" w:rsidR="00E77031" w:rsidRDefault="00E77031">
      <w:pPr>
        <w:pStyle w:val="ConsPlusNormal"/>
        <w:ind w:left="180"/>
      </w:pPr>
      <w:r>
        <w:t xml:space="preserve">3. </w:t>
      </w:r>
      <w:hyperlink w:anchor="P72">
        <w:r>
          <w:rPr>
            <w:color w:val="0000FF"/>
          </w:rPr>
          <w:t>Какая ответственность предусмотрена за нарушение порядка использования средств на оплату труда</w:t>
        </w:r>
      </w:hyperlink>
    </w:p>
    <w:p w14:paraId="6E559D59" w14:textId="77777777" w:rsidR="00E77031" w:rsidRDefault="00E77031">
      <w:pPr>
        <w:pStyle w:val="ConsPlusNormal"/>
        <w:spacing w:before="400"/>
        <w:jc w:val="both"/>
      </w:pPr>
    </w:p>
    <w:p w14:paraId="658258B7" w14:textId="77777777" w:rsidR="00E77031" w:rsidRDefault="00E77031">
      <w:pPr>
        <w:pStyle w:val="ConsPlusNormal"/>
        <w:outlineLvl w:val="0"/>
      </w:pPr>
      <w:bookmarkStart w:id="0" w:name="P14"/>
      <w:bookmarkEnd w:id="0"/>
      <w:r>
        <w:rPr>
          <w:b/>
          <w:sz w:val="32"/>
        </w:rPr>
        <w:t>1. Какие действия рассматриваются как нарушения порядка использования средств на оплату труда</w:t>
      </w:r>
    </w:p>
    <w:p w14:paraId="54924836" w14:textId="77777777" w:rsidR="00E77031" w:rsidRDefault="00E77031">
      <w:pPr>
        <w:pStyle w:val="ConsPlusNormal"/>
        <w:spacing w:before="220"/>
        <w:jc w:val="both"/>
      </w:pPr>
      <w:r>
        <w:t>В ходе проверки органы контроля могут выявить факты несоблюдения требований законодательных и иных актов, регулирующих правоотношения, которые возникают при расходовании средств на оплату труда. Их квалифицируют и фиксируют как нарушения (</w:t>
      </w:r>
      <w:hyperlink r:id="rId6">
        <w:r>
          <w:rPr>
            <w:color w:val="0000FF"/>
          </w:rPr>
          <w:t>п. 1 ст. 265</w:t>
        </w:r>
      </w:hyperlink>
      <w:r>
        <w:t xml:space="preserve"> БК РФ).</w:t>
      </w:r>
    </w:p>
    <w:p w14:paraId="0AE91065" w14:textId="77777777" w:rsidR="00E77031" w:rsidRDefault="00E77031">
      <w:pPr>
        <w:pStyle w:val="ConsPlusNormal"/>
        <w:spacing w:before="220"/>
        <w:jc w:val="both"/>
      </w:pPr>
      <w:r>
        <w:t>Счетная палата РФ относит их к нарушениям, допущенным в ходе исполнения бюджетов (</w:t>
      </w:r>
      <w:hyperlink r:id="rId7">
        <w:r>
          <w:rPr>
            <w:color w:val="0000FF"/>
          </w:rPr>
          <w:t>Приложение N 28</w:t>
        </w:r>
      </w:hyperlink>
      <w:r>
        <w:t xml:space="preserve"> к СГА 101 "Общие правила проведения контрольного мероприятия"). В их числе такие:</w:t>
      </w:r>
    </w:p>
    <w:p w14:paraId="2A269ED3" w14:textId="77777777" w:rsidR="00E77031" w:rsidRDefault="00E77031">
      <w:pPr>
        <w:pStyle w:val="ConsPlusNormal"/>
        <w:numPr>
          <w:ilvl w:val="0"/>
          <w:numId w:val="1"/>
        </w:numPr>
        <w:spacing w:before="220"/>
        <w:jc w:val="both"/>
      </w:pPr>
      <w:hyperlink r:id="rId8">
        <w:r>
          <w:rPr>
            <w:color w:val="0000FF"/>
          </w:rPr>
          <w:t>нарушение</w:t>
        </w:r>
      </w:hyperlink>
      <w:r>
        <w:t xml:space="preserve"> порядка и условий оплаты труда;</w:t>
      </w:r>
    </w:p>
    <w:p w14:paraId="26A7DDF8" w14:textId="77777777" w:rsidR="00E77031" w:rsidRDefault="00E77031">
      <w:pPr>
        <w:pStyle w:val="ConsPlusNormal"/>
        <w:numPr>
          <w:ilvl w:val="0"/>
          <w:numId w:val="1"/>
        </w:numPr>
        <w:spacing w:before="220"/>
        <w:jc w:val="both"/>
      </w:pPr>
      <w:hyperlink r:id="rId9">
        <w:r>
          <w:rPr>
            <w:color w:val="0000FF"/>
          </w:rPr>
          <w:t>расходование</w:t>
        </w:r>
      </w:hyperlink>
      <w:r>
        <w:t xml:space="preserve"> бюджетных средств на цели, не соответствующие утвержденной бюджетной смете;</w:t>
      </w:r>
    </w:p>
    <w:p w14:paraId="10FB3A5B" w14:textId="77777777" w:rsidR="00E77031" w:rsidRDefault="00E77031">
      <w:pPr>
        <w:pStyle w:val="ConsPlusNormal"/>
        <w:numPr>
          <w:ilvl w:val="0"/>
          <w:numId w:val="1"/>
        </w:numPr>
        <w:spacing w:before="220"/>
        <w:jc w:val="both"/>
      </w:pPr>
      <w:hyperlink r:id="rId10">
        <w:r>
          <w:rPr>
            <w:color w:val="0000FF"/>
          </w:rPr>
          <w:t>расходование</w:t>
        </w:r>
      </w:hyperlink>
      <w:r>
        <w:t xml:space="preserve"> субсидии на выполнение государственного (муниципального) задания на цели, не связанные с ним;</w:t>
      </w:r>
    </w:p>
    <w:p w14:paraId="10FA5E92" w14:textId="77777777" w:rsidR="00E77031" w:rsidRDefault="00E77031">
      <w:pPr>
        <w:pStyle w:val="ConsPlusNormal"/>
        <w:numPr>
          <w:ilvl w:val="0"/>
          <w:numId w:val="1"/>
        </w:numPr>
        <w:spacing w:before="220"/>
        <w:jc w:val="both"/>
      </w:pPr>
      <w:hyperlink r:id="rId11">
        <w:r>
          <w:rPr>
            <w:color w:val="0000FF"/>
          </w:rPr>
          <w:t>нарушение</w:t>
        </w:r>
      </w:hyperlink>
      <w:r>
        <w:t xml:space="preserve"> порядка применения бюджетной классификации РФ.</w:t>
      </w:r>
    </w:p>
    <w:p w14:paraId="700AD2A4" w14:textId="77777777" w:rsidR="00E77031" w:rsidRDefault="00E77031">
      <w:pPr>
        <w:pStyle w:val="ConsPlusNormal"/>
        <w:spacing w:before="220"/>
        <w:jc w:val="both"/>
      </w:pPr>
      <w:r>
        <w:t xml:space="preserve">Кроме того, Счетная палата РФ выделяет </w:t>
      </w:r>
      <w:hyperlink r:id="rId12">
        <w:r>
          <w:rPr>
            <w:color w:val="0000FF"/>
          </w:rPr>
          <w:t>нарушения</w:t>
        </w:r>
      </w:hyperlink>
      <w:r>
        <w:t xml:space="preserve"> требований к бюджетному (бухгалтерскому) учету и отчетности, которые также могут быть выявлены в ходе проверки расходов на оплату труда. К ним относятся </w:t>
      </w:r>
      <w:hyperlink r:id="rId13">
        <w:r>
          <w:rPr>
            <w:color w:val="0000FF"/>
          </w:rPr>
          <w:t>нарушение</w:t>
        </w:r>
      </w:hyperlink>
      <w:r>
        <w:t xml:space="preserve"> требований к оформлению фактов хозяйственной жизни первичными учетными документами, </w:t>
      </w:r>
      <w:hyperlink r:id="rId14">
        <w:r>
          <w:rPr>
            <w:color w:val="0000FF"/>
          </w:rPr>
          <w:t>нарушение</w:t>
        </w:r>
      </w:hyperlink>
      <w:r>
        <w:t xml:space="preserve"> правил ведения бюджетного (бухгалтерского) учета и т.д.</w:t>
      </w:r>
    </w:p>
    <w:p w14:paraId="6A3FC1FB" w14:textId="77777777" w:rsidR="00E77031" w:rsidRDefault="00E77031">
      <w:pPr>
        <w:pStyle w:val="ConsPlusNormal"/>
        <w:spacing w:before="220"/>
        <w:jc w:val="both"/>
      </w:pPr>
      <w:r>
        <w:t xml:space="preserve">Федеральное казначейство утвердило перечень подобных нарушений в своем </w:t>
      </w:r>
      <w:hyperlink r:id="rId15">
        <w:r>
          <w:rPr>
            <w:color w:val="0000FF"/>
          </w:rPr>
          <w:t>Классификаторе</w:t>
        </w:r>
      </w:hyperlink>
      <w:r>
        <w:t>. Среди них такие:</w:t>
      </w:r>
    </w:p>
    <w:p w14:paraId="2B01A34F" w14:textId="77777777" w:rsidR="00E77031" w:rsidRDefault="00E77031">
      <w:pPr>
        <w:pStyle w:val="ConsPlusNormal"/>
        <w:numPr>
          <w:ilvl w:val="0"/>
          <w:numId w:val="2"/>
        </w:numPr>
        <w:spacing w:before="220"/>
        <w:jc w:val="both"/>
      </w:pPr>
      <w:hyperlink r:id="rId16">
        <w:r>
          <w:rPr>
            <w:color w:val="0000FF"/>
          </w:rPr>
          <w:t>расходование</w:t>
        </w:r>
      </w:hyperlink>
      <w:r>
        <w:t xml:space="preserve"> бюджетных средств, предоставленных на оплату труда, на выплаты, не предусмотренные законодательством (локальными нормативными актами, коллективными договорами);</w:t>
      </w:r>
    </w:p>
    <w:p w14:paraId="78E2E177" w14:textId="77777777" w:rsidR="00E77031" w:rsidRDefault="00E77031">
      <w:pPr>
        <w:pStyle w:val="ConsPlusNormal"/>
        <w:numPr>
          <w:ilvl w:val="0"/>
          <w:numId w:val="2"/>
        </w:numPr>
        <w:spacing w:before="220"/>
        <w:jc w:val="both"/>
      </w:pPr>
      <w:hyperlink r:id="rId17">
        <w:r>
          <w:rPr>
            <w:color w:val="0000FF"/>
          </w:rPr>
          <w:t>расходование</w:t>
        </w:r>
      </w:hyperlink>
      <w:r>
        <w:t xml:space="preserve"> средств субсидий на выполнение государственного (муниципального) задания на оплату труда работников, не участвующих в его выполнении;</w:t>
      </w:r>
    </w:p>
    <w:p w14:paraId="32F09548" w14:textId="77777777" w:rsidR="00E77031" w:rsidRDefault="00E77031">
      <w:pPr>
        <w:pStyle w:val="ConsPlusNormal"/>
        <w:numPr>
          <w:ilvl w:val="0"/>
          <w:numId w:val="2"/>
        </w:numPr>
        <w:spacing w:before="220"/>
        <w:jc w:val="both"/>
      </w:pPr>
      <w:hyperlink r:id="rId18">
        <w:r>
          <w:rPr>
            <w:color w:val="0000FF"/>
          </w:rPr>
          <w:t>нарушение</w:t>
        </w:r>
      </w:hyperlink>
      <w:r>
        <w:t xml:space="preserve"> порядка и условий оплаты труда сотрудников госорганов, госслужащих, работников госучреждений;</w:t>
      </w:r>
    </w:p>
    <w:p w14:paraId="529BB928" w14:textId="77777777" w:rsidR="00E77031" w:rsidRDefault="00E77031">
      <w:pPr>
        <w:pStyle w:val="ConsPlusNormal"/>
        <w:numPr>
          <w:ilvl w:val="0"/>
          <w:numId w:val="2"/>
        </w:numPr>
        <w:spacing w:before="220"/>
        <w:jc w:val="both"/>
      </w:pPr>
      <w:hyperlink r:id="rId19">
        <w:r>
          <w:rPr>
            <w:color w:val="0000FF"/>
          </w:rPr>
          <w:t>оплата</w:t>
        </w:r>
      </w:hyperlink>
      <w:r>
        <w:t xml:space="preserve"> денежных обязательств с нарушением законодательства, регулирующего правоотношения с государственными (муниципальными) служащими, работниками казенных учреждений и теми, кто замещает госдолжности РФ (субъектов РФ), муниципальные должности;</w:t>
      </w:r>
    </w:p>
    <w:p w14:paraId="3B1B10BE" w14:textId="77777777" w:rsidR="00E77031" w:rsidRDefault="00E77031">
      <w:pPr>
        <w:pStyle w:val="ConsPlusNormal"/>
        <w:numPr>
          <w:ilvl w:val="0"/>
          <w:numId w:val="2"/>
        </w:numPr>
        <w:spacing w:before="220"/>
        <w:jc w:val="both"/>
      </w:pPr>
      <w:hyperlink r:id="rId20">
        <w:r>
          <w:rPr>
            <w:color w:val="0000FF"/>
          </w:rPr>
          <w:t>превышение</w:t>
        </w:r>
      </w:hyperlink>
      <w:r>
        <w:t xml:space="preserve"> нормативов формирования расходов на оплату труда депутатов, выборных должностных лиц местного самоуправления, осуществляющих полномочия на постоянной основе, муниципальных служащих, а также расходов на содержание органов местного самоуправления.</w:t>
      </w:r>
    </w:p>
    <w:p w14:paraId="185E215E" w14:textId="77777777" w:rsidR="00E77031" w:rsidRDefault="00E77031">
      <w:pPr>
        <w:pStyle w:val="ConsPlusNormal"/>
        <w:spacing w:before="220"/>
        <w:jc w:val="both"/>
      </w:pPr>
      <w:r>
        <w:t>Из Классификаторов Счетной палаты РФ и Федерального казначейства можно узнать о мерах ответственности за указанные нарушения.</w:t>
      </w:r>
    </w:p>
    <w:p w14:paraId="6E32CC8B" w14:textId="77777777" w:rsidR="00E77031" w:rsidRDefault="00E77031">
      <w:pPr>
        <w:pStyle w:val="ConsPlusNormal"/>
        <w:spacing w:before="220"/>
        <w:jc w:val="both"/>
      </w:pPr>
      <w:r>
        <w:t>На региональном (муниципальном) уровне могут быть предусмотрены особенности квалификации нарушений (</w:t>
      </w:r>
      <w:hyperlink r:id="rId21">
        <w:r>
          <w:rPr>
            <w:color w:val="0000FF"/>
          </w:rPr>
          <w:t>п. 3 ст. 268.1</w:t>
        </w:r>
      </w:hyperlink>
      <w:r>
        <w:t xml:space="preserve">, </w:t>
      </w:r>
      <w:hyperlink r:id="rId22">
        <w:r>
          <w:rPr>
            <w:color w:val="0000FF"/>
          </w:rPr>
          <w:t>п. 3 ст. 269.2</w:t>
        </w:r>
      </w:hyperlink>
      <w:r>
        <w:t xml:space="preserve"> БК РФ, </w:t>
      </w:r>
      <w:hyperlink r:id="rId23">
        <w:r>
          <w:rPr>
            <w:color w:val="0000FF"/>
          </w:rPr>
          <w:t>п. 2.2</w:t>
        </w:r>
      </w:hyperlink>
      <w:r>
        <w:t xml:space="preserve"> Общих требований, утвержденных Постановлением Коллегии Счетной палаты РФ от 29.03.2022 N 2ПК).</w:t>
      </w:r>
    </w:p>
    <w:p w14:paraId="2DDDCF95" w14:textId="77777777" w:rsidR="00E77031" w:rsidRDefault="00E77031">
      <w:pPr>
        <w:pStyle w:val="ConsPlusNormal"/>
        <w:spacing w:before="220"/>
        <w:jc w:val="both"/>
      </w:pPr>
      <w:r>
        <w:t xml:space="preserve">Например, КСП Московской области квалифицирует их на основе </w:t>
      </w:r>
      <w:hyperlink r:id="rId24">
        <w:r>
          <w:rPr>
            <w:color w:val="0000FF"/>
          </w:rPr>
          <w:t>Классификатора</w:t>
        </w:r>
      </w:hyperlink>
      <w:r>
        <w:t xml:space="preserve"> Счетной палаты РФ с учетом региональных особенностей (</w:t>
      </w:r>
      <w:hyperlink r:id="rId25">
        <w:r>
          <w:rPr>
            <w:color w:val="0000FF"/>
          </w:rPr>
          <w:t>п. 76.11.3</w:t>
        </w:r>
      </w:hyperlink>
      <w:r>
        <w:t xml:space="preserve"> Стандарта, утвержденного Распоряжением КСП МО от 05.03.2020 N 41Р-27).</w:t>
      </w:r>
    </w:p>
    <w:p w14:paraId="31714DF0" w14:textId="77777777" w:rsidR="00E77031" w:rsidRDefault="00E77031">
      <w:pPr>
        <w:pStyle w:val="ConsPlusNormal"/>
        <w:spacing w:before="220"/>
        <w:jc w:val="both"/>
      </w:pPr>
      <w:r>
        <w:t xml:space="preserve">КСП Москвы среди </w:t>
      </w:r>
      <w:hyperlink r:id="rId26">
        <w:r>
          <w:rPr>
            <w:color w:val="0000FF"/>
          </w:rPr>
          <w:t>нарушений</w:t>
        </w:r>
      </w:hyperlink>
      <w:r>
        <w:t xml:space="preserve"> порядка и условий оплаты труда выделяет </w:t>
      </w:r>
      <w:hyperlink r:id="rId27">
        <w:r>
          <w:rPr>
            <w:color w:val="0000FF"/>
          </w:rPr>
          <w:t>переплату</w:t>
        </w:r>
      </w:hyperlink>
      <w:r>
        <w:t>, а также выплаты, которые не полагаются работникам государственных (муниципальных) органов, казенных учреждений (</w:t>
      </w:r>
      <w:hyperlink r:id="rId28">
        <w:r>
          <w:rPr>
            <w:color w:val="0000FF"/>
          </w:rPr>
          <w:t>п. 1.2.95.1</w:t>
        </w:r>
      </w:hyperlink>
      <w:r>
        <w:t xml:space="preserve"> Классификатора, утвержденного Приказом КСП Москвы от 30.06.2015 N 48/01-05).</w:t>
      </w:r>
    </w:p>
    <w:p w14:paraId="62C7BC9D" w14:textId="77777777" w:rsidR="00E77031" w:rsidRDefault="00E77031">
      <w:pPr>
        <w:pStyle w:val="ConsPlusNormal"/>
        <w:jc w:val="both"/>
      </w:pPr>
    </w:p>
    <w:p w14:paraId="239BB75E" w14:textId="77777777" w:rsidR="00E77031" w:rsidRDefault="00E770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E77031" w14:paraId="1F9C175C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4CF1" w14:textId="77777777" w:rsidR="00E77031" w:rsidRDefault="00E77031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3529171" w14:textId="77777777" w:rsidR="00E77031" w:rsidRDefault="00E77031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F2B9FD9" wp14:editId="67A01515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1A2785C" w14:textId="77777777" w:rsidR="00E77031" w:rsidRDefault="00E77031">
            <w:pPr>
              <w:pStyle w:val="ConsPlusNormal"/>
              <w:jc w:val="both"/>
            </w:pPr>
            <w:r>
              <w:t xml:space="preserve">См. также: </w:t>
            </w:r>
            <w:hyperlink r:id="rId30">
              <w:r>
                <w:rPr>
                  <w:color w:val="0000FF"/>
                </w:rPr>
                <w:t>Как проверяют использование средств на оплату труда, денежное содержание и иные стимулирующие выплаты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593D" w14:textId="77777777" w:rsidR="00E77031" w:rsidRDefault="00E77031">
            <w:pPr>
              <w:pStyle w:val="ConsPlusNormal"/>
            </w:pPr>
          </w:p>
        </w:tc>
      </w:tr>
    </w:tbl>
    <w:p w14:paraId="4238DF9E" w14:textId="77777777" w:rsidR="00E77031" w:rsidRDefault="00E77031">
      <w:pPr>
        <w:pStyle w:val="ConsPlusNormal"/>
        <w:spacing w:before="400"/>
        <w:jc w:val="both"/>
      </w:pPr>
    </w:p>
    <w:p w14:paraId="1AE78269" w14:textId="77777777" w:rsidR="00E77031" w:rsidRDefault="00E77031">
      <w:pPr>
        <w:pStyle w:val="ConsPlusNormal"/>
        <w:outlineLvl w:val="0"/>
      </w:pPr>
      <w:bookmarkStart w:id="1" w:name="P36"/>
      <w:bookmarkEnd w:id="1"/>
      <w:r>
        <w:rPr>
          <w:b/>
          <w:sz w:val="32"/>
        </w:rPr>
        <w:lastRenderedPageBreak/>
        <w:t>2. Как фиксируют нарушения порядка использования средств на оплату труда</w:t>
      </w:r>
    </w:p>
    <w:p w14:paraId="3E82B562" w14:textId="77777777" w:rsidR="00E77031" w:rsidRDefault="00E77031">
      <w:pPr>
        <w:pStyle w:val="ConsPlusNormal"/>
        <w:spacing w:before="220"/>
        <w:jc w:val="both"/>
      </w:pPr>
      <w:r>
        <w:t>Органы контроля фиксируют такие нарушения в акте проверки и представлении, направляемых объекту контроля, а также в отчете по результатам контрольного мероприятия (</w:t>
      </w:r>
      <w:hyperlink r:id="rId31">
        <w:r>
          <w:rPr>
            <w:color w:val="0000FF"/>
          </w:rPr>
          <w:t>п. 2 ст. 267.1</w:t>
        </w:r>
      </w:hyperlink>
      <w:r>
        <w:t xml:space="preserve">, </w:t>
      </w:r>
      <w:hyperlink r:id="rId32">
        <w:r>
          <w:rPr>
            <w:color w:val="0000FF"/>
          </w:rPr>
          <w:t>п. 2 ст. 270.2</w:t>
        </w:r>
      </w:hyperlink>
      <w:r>
        <w:t xml:space="preserve"> БК РФ, </w:t>
      </w:r>
      <w:hyperlink r:id="rId33">
        <w:r>
          <w:rPr>
            <w:color w:val="0000FF"/>
          </w:rPr>
          <w:t>ч. 4 ст. 16</w:t>
        </w:r>
      </w:hyperlink>
      <w:r>
        <w:t xml:space="preserve">, </w:t>
      </w:r>
      <w:hyperlink r:id="rId34">
        <w:r>
          <w:rPr>
            <w:color w:val="0000FF"/>
          </w:rPr>
          <w:t>ч. 2 ст. 17</w:t>
        </w:r>
      </w:hyperlink>
      <w:r>
        <w:t xml:space="preserve">, </w:t>
      </w:r>
      <w:hyperlink r:id="rId35">
        <w:r>
          <w:rPr>
            <w:color w:val="0000FF"/>
          </w:rPr>
          <w:t>ч. 1 ст. 26</w:t>
        </w:r>
      </w:hyperlink>
      <w:r>
        <w:t xml:space="preserve"> Закона о Счетной палате РФ, </w:t>
      </w:r>
      <w:hyperlink r:id="rId36">
        <w:r>
          <w:rPr>
            <w:color w:val="0000FF"/>
          </w:rPr>
          <w:t>ч. 2 ст. 10</w:t>
        </w:r>
      </w:hyperlink>
      <w:r>
        <w:t xml:space="preserve">, </w:t>
      </w:r>
      <w:hyperlink r:id="rId37">
        <w:r>
          <w:rPr>
            <w:color w:val="0000FF"/>
          </w:rPr>
          <w:t>ч. 1 ст. 16</w:t>
        </w:r>
      </w:hyperlink>
      <w:r>
        <w:t xml:space="preserve"> Закона о контрольно-счетных органах, </w:t>
      </w:r>
      <w:hyperlink r:id="rId38">
        <w:r>
          <w:rPr>
            <w:color w:val="0000FF"/>
          </w:rPr>
          <w:t>п. 11</w:t>
        </w:r>
      </w:hyperlink>
      <w:r>
        <w:t xml:space="preserve"> Федерального стандарта N 1095, </w:t>
      </w:r>
      <w:hyperlink r:id="rId39">
        <w:r>
          <w:rPr>
            <w:color w:val="0000FF"/>
          </w:rPr>
          <w:t>п. 49</w:t>
        </w:r>
      </w:hyperlink>
      <w:r>
        <w:t xml:space="preserve"> Федерального стандарта N 1235).</w:t>
      </w:r>
    </w:p>
    <w:p w14:paraId="37755621" w14:textId="77777777" w:rsidR="00E77031" w:rsidRDefault="00E77031">
      <w:pPr>
        <w:pStyle w:val="ConsPlusNormal"/>
        <w:jc w:val="both"/>
      </w:pPr>
    </w:p>
    <w:p w14:paraId="2B760E8D" w14:textId="77777777" w:rsidR="00E77031" w:rsidRDefault="00E770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E77031" w14:paraId="4ECA5324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F38A" w14:textId="77777777" w:rsidR="00E77031" w:rsidRDefault="00E77031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743D771" w14:textId="77777777" w:rsidR="00E77031" w:rsidRDefault="00E77031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0355AAE3" wp14:editId="08897B4B">
                  <wp:extent cx="152400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0ACC984" w14:textId="77777777" w:rsidR="00E77031" w:rsidRDefault="00E77031">
            <w:pPr>
              <w:pStyle w:val="ConsPlusNormal"/>
              <w:jc w:val="both"/>
            </w:pPr>
            <w:r>
              <w:t>См. также:</w:t>
            </w:r>
          </w:p>
          <w:p w14:paraId="3FBBA106" w14:textId="77777777" w:rsidR="00E77031" w:rsidRDefault="00E770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0">
              <w:r>
                <w:rPr>
                  <w:color w:val="0000FF"/>
                </w:rPr>
                <w:t>Как органы внешнего государственного (муниципального) финансового контроля оформляют итоги контрольных мероприятий</w:t>
              </w:r>
            </w:hyperlink>
          </w:p>
          <w:p w14:paraId="1C1D3561" w14:textId="77777777" w:rsidR="00E77031" w:rsidRDefault="00E770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1">
              <w:r>
                <w:rPr>
                  <w:color w:val="0000FF"/>
                </w:rPr>
                <w:t>Как органы внутреннего государственного (муниципального) финансового контроля оформляют итоги контрольных мероприятий</w:t>
              </w:r>
            </w:hyperlink>
          </w:p>
          <w:p w14:paraId="279587AE" w14:textId="77777777" w:rsidR="00E77031" w:rsidRDefault="00E770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2">
              <w:r>
                <w:rPr>
                  <w:color w:val="0000FF"/>
                </w:rPr>
                <w:t>Какой документ получит организация по итогам проверки органа внешнего государственного (муниципального) финансового контроля для устранения нарушений</w:t>
              </w:r>
            </w:hyperlink>
          </w:p>
          <w:p w14:paraId="2E82F5F4" w14:textId="77777777" w:rsidR="00E77031" w:rsidRDefault="00E77031">
            <w:pPr>
              <w:pStyle w:val="ConsPlusNormal"/>
              <w:numPr>
                <w:ilvl w:val="0"/>
                <w:numId w:val="2"/>
              </w:numPr>
              <w:jc w:val="both"/>
            </w:pPr>
            <w:hyperlink r:id="rId43">
              <w:r>
                <w:rPr>
                  <w:color w:val="0000FF"/>
                </w:rPr>
                <w:t>Какой документ получит организация по итогам проверки органа внутреннего государственного (муниципального) финансового контроля для устранения нарушений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6003" w14:textId="77777777" w:rsidR="00E77031" w:rsidRDefault="00E77031">
            <w:pPr>
              <w:pStyle w:val="ConsPlusNormal"/>
            </w:pPr>
          </w:p>
        </w:tc>
      </w:tr>
    </w:tbl>
    <w:p w14:paraId="42E47640" w14:textId="77777777" w:rsidR="00E77031" w:rsidRDefault="00E77031">
      <w:pPr>
        <w:pStyle w:val="ConsPlusNormal"/>
        <w:spacing w:before="320"/>
        <w:jc w:val="both"/>
      </w:pPr>
    </w:p>
    <w:p w14:paraId="51995DD9" w14:textId="77777777" w:rsidR="00E77031" w:rsidRDefault="00E77031">
      <w:pPr>
        <w:pStyle w:val="ConsPlusNormal"/>
        <w:outlineLvl w:val="1"/>
      </w:pPr>
      <w:r>
        <w:rPr>
          <w:b/>
          <w:sz w:val="26"/>
        </w:rPr>
        <w:t>2.1. Какие нарушения фиксируют по результатам проверки использования средств на оплату труда</w:t>
      </w:r>
    </w:p>
    <w:p w14:paraId="03B23D8E" w14:textId="77777777" w:rsidR="00E77031" w:rsidRDefault="00E77031">
      <w:pPr>
        <w:pStyle w:val="ConsPlusNormal"/>
        <w:spacing w:before="220"/>
        <w:jc w:val="both"/>
      </w:pPr>
      <w:r>
        <w:t xml:space="preserve">Счетная палата РФ указала, в частности, на следующие нарушения и недостатки (Представления от 15.08.2019 </w:t>
      </w:r>
      <w:hyperlink r:id="rId44">
        <w:r>
          <w:rPr>
            <w:color w:val="0000FF"/>
          </w:rPr>
          <w:t>N ПР 02-175/12-02</w:t>
        </w:r>
      </w:hyperlink>
      <w:r>
        <w:t xml:space="preserve">, от 04.03.2019 </w:t>
      </w:r>
      <w:hyperlink r:id="rId45">
        <w:r>
          <w:rPr>
            <w:color w:val="0000FF"/>
          </w:rPr>
          <w:t>N ПР 03-24/03-01</w:t>
        </w:r>
      </w:hyperlink>
      <w:r>
        <w:t xml:space="preserve">, от 01.06.2018 </w:t>
      </w:r>
      <w:hyperlink r:id="rId46">
        <w:r>
          <w:rPr>
            <w:color w:val="0000FF"/>
          </w:rPr>
          <w:t>N ПР 07-210/07-01</w:t>
        </w:r>
      </w:hyperlink>
      <w:r>
        <w:t xml:space="preserve">, от 30.05.2018 </w:t>
      </w:r>
      <w:hyperlink r:id="rId47">
        <w:r>
          <w:rPr>
            <w:color w:val="0000FF"/>
          </w:rPr>
          <w:t>N ПР 12-167/12-04</w:t>
        </w:r>
      </w:hyperlink>
      <w:r>
        <w:t xml:space="preserve">, от 20.10.2017 </w:t>
      </w:r>
      <w:hyperlink r:id="rId48">
        <w:r>
          <w:rPr>
            <w:color w:val="0000FF"/>
          </w:rPr>
          <w:t>N ПР 13-238/13-03</w:t>
        </w:r>
      </w:hyperlink>
      <w:r>
        <w:t xml:space="preserve">, от 02.06.2017 </w:t>
      </w:r>
      <w:hyperlink r:id="rId49">
        <w:r>
          <w:rPr>
            <w:color w:val="0000FF"/>
          </w:rPr>
          <w:t>N ПР 02-133/02/2-05</w:t>
        </w:r>
      </w:hyperlink>
      <w:r>
        <w:t xml:space="preserve">, от 31.05.2016 </w:t>
      </w:r>
      <w:hyperlink r:id="rId50">
        <w:r>
          <w:rPr>
            <w:color w:val="0000FF"/>
          </w:rPr>
          <w:t>N ПР 02-143/07-03</w:t>
        </w:r>
      </w:hyperlink>
      <w:r>
        <w:t>):</w:t>
      </w:r>
    </w:p>
    <w:p w14:paraId="67F01D64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средства субсидии на повышение средней зарплаты преподавателей израсходованы на оплату труда работников других категорий;</w:t>
      </w:r>
    </w:p>
    <w:p w14:paraId="01A47700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утвержденное штатное расписание не соответствует положению об оплате труда (в части размеров должностных окладов и надбавок);</w:t>
      </w:r>
    </w:p>
    <w:p w14:paraId="1D75DD2B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экономия фонда оплаты труда использована на премирование сверх норматива;</w:t>
      </w:r>
    </w:p>
    <w:p w14:paraId="4DB28DDE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взносы на обязательное социальное страхование перечислены при отсутствии начислений;</w:t>
      </w:r>
    </w:p>
    <w:p w14:paraId="55F95B6C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положение об оплате труда и премировании не согласовано с выборным органом первичной профсоюзной организации;</w:t>
      </w:r>
    </w:p>
    <w:p w14:paraId="5A351141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не установлены правила внутреннего трудового распорядка;</w:t>
      </w:r>
    </w:p>
    <w:p w14:paraId="40E3CE58" w14:textId="77777777" w:rsidR="00E77031" w:rsidRDefault="00E77031">
      <w:pPr>
        <w:pStyle w:val="ConsPlusNormal"/>
        <w:numPr>
          <w:ilvl w:val="0"/>
          <w:numId w:val="3"/>
        </w:numPr>
        <w:spacing w:before="220"/>
        <w:jc w:val="both"/>
      </w:pPr>
      <w:r>
        <w:t>не соблюден норматив штатной численности.</w:t>
      </w:r>
    </w:p>
    <w:p w14:paraId="7E6FD6BD" w14:textId="77777777" w:rsidR="00E77031" w:rsidRDefault="00E77031">
      <w:pPr>
        <w:pStyle w:val="ConsPlusNormal"/>
        <w:spacing w:before="220"/>
        <w:jc w:val="both"/>
      </w:pPr>
      <w:r>
        <w:t>Федеральное казначейство в Обзорах недостатков и нарушений сообщило, например, о следующих фактах:</w:t>
      </w:r>
    </w:p>
    <w:p w14:paraId="238E0986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 xml:space="preserve">премии сотрудникам учреждения начислялись независимо от фактически отработанного </w:t>
      </w:r>
      <w:r>
        <w:lastRenderedPageBreak/>
        <w:t>времени;</w:t>
      </w:r>
    </w:p>
    <w:p w14:paraId="1B100CB5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стимулирующие выплаты осуществлялись без учета критериев, позволяющих оценить результативность и качество работы сотрудников, и без обоснования размеров выплат;</w:t>
      </w:r>
    </w:p>
    <w:p w14:paraId="51C449FA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не оформлялись первичные учетные документы по начислению и выплате зарплаты;</w:t>
      </w:r>
    </w:p>
    <w:p w14:paraId="7256EDEF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к учету приняты первичные учетные документы (путевые листы легкового автомобиля), не соответствующие требованиям к оформлению фактов хозяйственной жизни: указано недостоверное время работы водителя, не отражено время выезда и возвращения при каждой поездке и др.;</w:t>
      </w:r>
    </w:p>
    <w:p w14:paraId="0BF2DC2B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допущено нецелевое использование бюджетных средств: пени уплачены в ГВБФ по КВР 129, хотя расходы на них соответствуют КВР 853;</w:t>
      </w:r>
    </w:p>
    <w:p w14:paraId="7EF51849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несвоевременно перечислена зарплата;</w:t>
      </w:r>
    </w:p>
    <w:p w14:paraId="1BB1B157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допущены факты недоплаты, переплаты, излишнего удержания зарплаты;</w:t>
      </w:r>
    </w:p>
    <w:p w14:paraId="0AED2429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произведены стимулирующие выплаты, не предусмотренные локальными актами об оплате труда;</w:t>
      </w:r>
    </w:p>
    <w:p w14:paraId="4690EC4C" w14:textId="77777777" w:rsidR="00E77031" w:rsidRDefault="00E77031">
      <w:pPr>
        <w:pStyle w:val="ConsPlusNormal"/>
        <w:numPr>
          <w:ilvl w:val="0"/>
          <w:numId w:val="4"/>
        </w:numPr>
        <w:spacing w:before="220"/>
        <w:jc w:val="both"/>
      </w:pPr>
      <w:r>
        <w:t>районный коэффициент к зарплате применен в большем размере, чем установлено.</w:t>
      </w:r>
    </w:p>
    <w:p w14:paraId="40C5EA50" w14:textId="77777777" w:rsidR="00E77031" w:rsidRDefault="00E77031">
      <w:pPr>
        <w:pStyle w:val="ConsPlusNormal"/>
        <w:spacing w:before="220"/>
        <w:jc w:val="both"/>
      </w:pPr>
      <w:r>
        <w:t xml:space="preserve">КСП Московской области </w:t>
      </w:r>
      <w:hyperlink r:id="rId51">
        <w:r>
          <w:rPr>
            <w:color w:val="0000FF"/>
          </w:rPr>
          <w:t>выявляла</w:t>
        </w:r>
      </w:hyperlink>
      <w:r>
        <w:t>, в частности, такие факты (Отчет о деятельности за 2020 г., утвержденный Решением Коллегии КСП МО от 17.05.2021 N 10/1):</w:t>
      </w:r>
    </w:p>
    <w:p w14:paraId="03BADC94" w14:textId="77777777" w:rsidR="00E77031" w:rsidRDefault="00E77031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стимулирующие выплаты руководителю учреждения </w:t>
      </w:r>
      <w:hyperlink r:id="rId52">
        <w:r>
          <w:rPr>
            <w:color w:val="0000FF"/>
          </w:rPr>
          <w:t>произведены</w:t>
        </w:r>
      </w:hyperlink>
      <w:r>
        <w:t xml:space="preserve"> в отсутствие установленных показателей эффективности и результативности деятельности учреждения и документов, подтверждающих их выполнение </w:t>
      </w:r>
      <w:hyperlink r:id="rId53">
        <w:r>
          <w:rPr>
            <w:color w:val="0000FF"/>
          </w:rPr>
          <w:t>(подраздел 3.1)</w:t>
        </w:r>
      </w:hyperlink>
      <w:r>
        <w:t>;</w:t>
      </w:r>
    </w:p>
    <w:p w14:paraId="32ACC141" w14:textId="77777777" w:rsidR="00E77031" w:rsidRDefault="00E77031">
      <w:pPr>
        <w:pStyle w:val="ConsPlusNormal"/>
        <w:numPr>
          <w:ilvl w:val="0"/>
          <w:numId w:val="5"/>
        </w:numPr>
        <w:spacing w:before="220"/>
        <w:jc w:val="both"/>
      </w:pPr>
      <w:hyperlink r:id="rId54">
        <w:r>
          <w:rPr>
            <w:color w:val="0000FF"/>
          </w:rPr>
          <w:t>превышен</w:t>
        </w:r>
      </w:hyperlink>
      <w:r>
        <w:t xml:space="preserve"> предельный уровень соотношения среднемесячной зарплаты руководителя учреждения и среднемесячной зарплаты работников </w:t>
      </w:r>
      <w:hyperlink r:id="rId55">
        <w:r>
          <w:rPr>
            <w:color w:val="0000FF"/>
          </w:rPr>
          <w:t>(подраздел 3.1)</w:t>
        </w:r>
      </w:hyperlink>
      <w:r>
        <w:t>;</w:t>
      </w:r>
    </w:p>
    <w:p w14:paraId="287EA9E4" w14:textId="77777777" w:rsidR="00E77031" w:rsidRDefault="00E77031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допущено нецелевое </w:t>
      </w:r>
      <w:hyperlink r:id="rId56">
        <w:r>
          <w:rPr>
            <w:color w:val="0000FF"/>
          </w:rPr>
          <w:t>использование</w:t>
        </w:r>
      </w:hyperlink>
      <w:r>
        <w:t xml:space="preserve"> средств субсидии на выполнение государственного задания (оплачен труд работников, не участвовавших в его выполнении, и работников, осуществлявших приносящую доход деятельность) </w:t>
      </w:r>
      <w:hyperlink r:id="rId57">
        <w:r>
          <w:rPr>
            <w:color w:val="0000FF"/>
          </w:rPr>
          <w:t>(подраздел 3.5)</w:t>
        </w:r>
      </w:hyperlink>
      <w:r>
        <w:t>;</w:t>
      </w:r>
    </w:p>
    <w:p w14:paraId="1E484A0D" w14:textId="77777777" w:rsidR="00E77031" w:rsidRDefault="00E77031">
      <w:pPr>
        <w:pStyle w:val="ConsPlusNormal"/>
        <w:numPr>
          <w:ilvl w:val="0"/>
          <w:numId w:val="5"/>
        </w:numPr>
        <w:spacing w:before="220"/>
        <w:jc w:val="both"/>
      </w:pPr>
      <w:r>
        <w:t xml:space="preserve">допущены </w:t>
      </w:r>
      <w:hyperlink r:id="rId58">
        <w:r>
          <w:rPr>
            <w:color w:val="0000FF"/>
          </w:rPr>
          <w:t>нарушения</w:t>
        </w:r>
      </w:hyperlink>
      <w:r>
        <w:t xml:space="preserve"> при установлении системы оплаты труда (стимулирующая выплата производилась в связи с "отсутствием обоснованных замечаний со стороны руководства", что не отвечает параметрам оценки эффективности деятельности работника) </w:t>
      </w:r>
      <w:hyperlink r:id="rId59">
        <w:r>
          <w:rPr>
            <w:color w:val="0000FF"/>
          </w:rPr>
          <w:t>(подраздел 3.5)</w:t>
        </w:r>
      </w:hyperlink>
      <w:r>
        <w:t>;</w:t>
      </w:r>
    </w:p>
    <w:p w14:paraId="564D8D5E" w14:textId="77777777" w:rsidR="00E77031" w:rsidRDefault="00E77031">
      <w:pPr>
        <w:pStyle w:val="ConsPlusNormal"/>
        <w:numPr>
          <w:ilvl w:val="0"/>
          <w:numId w:val="5"/>
        </w:numPr>
        <w:spacing w:before="220"/>
        <w:jc w:val="both"/>
      </w:pPr>
      <w:hyperlink r:id="rId60">
        <w:r>
          <w:rPr>
            <w:color w:val="0000FF"/>
          </w:rPr>
          <w:t>не установлено</w:t>
        </w:r>
      </w:hyperlink>
      <w:r>
        <w:t xml:space="preserve"> положение об оплате труда работников учреждения </w:t>
      </w:r>
      <w:hyperlink r:id="rId61">
        <w:r>
          <w:rPr>
            <w:color w:val="0000FF"/>
          </w:rPr>
          <w:t>(подраздел 3.6)</w:t>
        </w:r>
      </w:hyperlink>
      <w:r>
        <w:t>.</w:t>
      </w:r>
    </w:p>
    <w:p w14:paraId="78353546" w14:textId="77777777" w:rsidR="00E77031" w:rsidRDefault="00E77031">
      <w:pPr>
        <w:pStyle w:val="ConsPlusNormal"/>
        <w:jc w:val="both"/>
      </w:pPr>
    </w:p>
    <w:p w14:paraId="2C49AE60" w14:textId="77777777" w:rsidR="00E77031" w:rsidRDefault="00E77031">
      <w:pPr>
        <w:pStyle w:val="ConsPlusNormal"/>
        <w:outlineLvl w:val="0"/>
      </w:pPr>
      <w:bookmarkStart w:id="2" w:name="P72"/>
      <w:bookmarkEnd w:id="2"/>
      <w:r>
        <w:rPr>
          <w:b/>
          <w:sz w:val="32"/>
        </w:rPr>
        <w:t>3. Какая ответственность предусмотрена за нарушение порядка использования средств на оплату труда</w:t>
      </w:r>
    </w:p>
    <w:p w14:paraId="21B35ABD" w14:textId="77777777" w:rsidR="00E77031" w:rsidRDefault="00E77031">
      <w:pPr>
        <w:pStyle w:val="ConsPlusNormal"/>
        <w:spacing w:before="220"/>
        <w:jc w:val="both"/>
      </w:pPr>
      <w:r>
        <w:t>За данные нарушения органы контроля могут привлечь проверяемых к административной ответственности (</w:t>
      </w:r>
      <w:hyperlink r:id="rId62">
        <w:r>
          <w:rPr>
            <w:color w:val="0000FF"/>
          </w:rPr>
          <w:t>п. 2 ст. 268.1</w:t>
        </w:r>
      </w:hyperlink>
      <w:r>
        <w:t xml:space="preserve">, </w:t>
      </w:r>
      <w:hyperlink r:id="rId63">
        <w:r>
          <w:rPr>
            <w:color w:val="0000FF"/>
          </w:rPr>
          <w:t>п. 2 ст. 269.2</w:t>
        </w:r>
      </w:hyperlink>
      <w:r>
        <w:t xml:space="preserve"> БК РФ).</w:t>
      </w:r>
    </w:p>
    <w:p w14:paraId="78ACD189" w14:textId="77777777" w:rsidR="00E77031" w:rsidRDefault="00E77031">
      <w:pPr>
        <w:pStyle w:val="ConsPlusNormal"/>
        <w:spacing w:before="220"/>
        <w:jc w:val="both"/>
      </w:pPr>
      <w:r>
        <w:t xml:space="preserve">Если нарушены требования к бюджетному (бухгалтерскому) учету расходов на оплату труда и это исказило показатели бюджетной или бухгалтерской (финансовой) отчетности, должностных лиц могут привлечь к ответственности по </w:t>
      </w:r>
      <w:hyperlink r:id="rId64">
        <w:r>
          <w:rPr>
            <w:color w:val="0000FF"/>
          </w:rPr>
          <w:t>ч. 2</w:t>
        </w:r>
      </w:hyperlink>
      <w:r>
        <w:t xml:space="preserve"> - </w:t>
      </w:r>
      <w:hyperlink r:id="rId65">
        <w:r>
          <w:rPr>
            <w:color w:val="0000FF"/>
          </w:rPr>
          <w:t>7 ст. 15.15.6</w:t>
        </w:r>
      </w:hyperlink>
      <w:r>
        <w:t xml:space="preserve"> КоАП РФ.</w:t>
      </w:r>
    </w:p>
    <w:p w14:paraId="18EF5C8C" w14:textId="77777777" w:rsidR="00E77031" w:rsidRDefault="00E77031">
      <w:pPr>
        <w:pStyle w:val="ConsPlusNormal"/>
        <w:spacing w:before="220"/>
        <w:jc w:val="both"/>
      </w:pPr>
      <w:r>
        <w:t xml:space="preserve">За нецелевое использование бюджетных средств (если нет признаков уголовно наказуемого </w:t>
      </w:r>
      <w:r>
        <w:lastRenderedPageBreak/>
        <w:t>деяния) должностных лиц объекта контроля оштрафуют на сумму от 20 тыс. до 50 тыс. руб. либо дисквалифицируют на срок от одного года до трех лет. Штраф для юрлиц составит от 5 до 25% суммы бюджетных средств, использованных не по целевому назначению (</w:t>
      </w:r>
      <w:hyperlink r:id="rId66">
        <w:r>
          <w:rPr>
            <w:color w:val="0000FF"/>
          </w:rPr>
          <w:t>ст. 15.14</w:t>
        </w:r>
      </w:hyperlink>
      <w:r>
        <w:t xml:space="preserve"> КоАП РФ).</w:t>
      </w:r>
    </w:p>
    <w:p w14:paraId="31BE305D" w14:textId="77777777" w:rsidR="00E77031" w:rsidRDefault="00E77031">
      <w:pPr>
        <w:pStyle w:val="ConsPlusNormal"/>
        <w:spacing w:before="220"/>
        <w:jc w:val="both"/>
      </w:pPr>
      <w:r>
        <w:t>К такой ответственности привлекали нарушителей за следующие действия (</w:t>
      </w:r>
      <w:hyperlink r:id="rId67">
        <w:r>
          <w:rPr>
            <w:color w:val="0000FF"/>
          </w:rPr>
          <w:t>Постановление</w:t>
        </w:r>
      </w:hyperlink>
      <w:r>
        <w:t xml:space="preserve"> Арбитражного суда Северо-Западного округа от 27.04.2021 N Ф07-3160/2021 по делу N А05-8917/2020, </w:t>
      </w:r>
      <w:hyperlink r:id="rId68">
        <w:r>
          <w:rPr>
            <w:color w:val="0000FF"/>
          </w:rPr>
          <w:t>Постановление</w:t>
        </w:r>
      </w:hyperlink>
      <w:r>
        <w:t xml:space="preserve"> Арбитражного суда Восточно-Сибирского округа от 08.06.2020 N Ф02-2013/2020 по делу N А58-9005/2019):</w:t>
      </w:r>
    </w:p>
    <w:p w14:paraId="685240E4" w14:textId="77777777" w:rsidR="00E77031" w:rsidRDefault="00E77031">
      <w:pPr>
        <w:pStyle w:val="ConsPlusNormal"/>
        <w:numPr>
          <w:ilvl w:val="0"/>
          <w:numId w:val="6"/>
        </w:numPr>
        <w:spacing w:before="220"/>
        <w:jc w:val="both"/>
      </w:pPr>
      <w:r>
        <w:t xml:space="preserve">средства субсидии на выполнение </w:t>
      </w:r>
      <w:proofErr w:type="spellStart"/>
      <w:r>
        <w:t>госзадания</w:t>
      </w:r>
      <w:proofErr w:type="spellEnd"/>
      <w:r>
        <w:t xml:space="preserve"> направлены на оплату труда специалиста, деятельность которого не связана с его выполнением;</w:t>
      </w:r>
    </w:p>
    <w:p w14:paraId="36905441" w14:textId="77777777" w:rsidR="00E77031" w:rsidRDefault="00E77031">
      <w:pPr>
        <w:pStyle w:val="ConsPlusNormal"/>
        <w:numPr>
          <w:ilvl w:val="0"/>
          <w:numId w:val="6"/>
        </w:numPr>
        <w:spacing w:before="220"/>
        <w:jc w:val="both"/>
      </w:pPr>
      <w:r>
        <w:t>средства субвенции на реализацию образовательных программ использованы на уплату начислений на зарплату обслуживающему персоналу.</w:t>
      </w:r>
    </w:p>
    <w:p w14:paraId="59FD0AE4" w14:textId="77777777" w:rsidR="00E77031" w:rsidRDefault="00E77031">
      <w:pPr>
        <w:pStyle w:val="ConsPlusNormal"/>
        <w:spacing w:before="220"/>
        <w:jc w:val="both"/>
      </w:pPr>
      <w:r>
        <w:t>Обратите внимание: если при проведении одного контрольного мероприятия выявлено несколько нарушений, ответственность за которые предусмотрена одной и той же статьей (ее частью), виновного наказывают как за одно нарушение (</w:t>
      </w:r>
      <w:hyperlink r:id="rId69">
        <w:r>
          <w:rPr>
            <w:color w:val="0000FF"/>
          </w:rPr>
          <w:t>ч. 5 ст. 4.4</w:t>
        </w:r>
      </w:hyperlink>
      <w:r>
        <w:t xml:space="preserve"> КоАП РФ).</w:t>
      </w:r>
    </w:p>
    <w:p w14:paraId="5B97BF64" w14:textId="77777777" w:rsidR="00E77031" w:rsidRDefault="00E77031">
      <w:pPr>
        <w:pStyle w:val="ConsPlusNormal"/>
        <w:spacing w:before="220"/>
        <w:jc w:val="both"/>
      </w:pPr>
      <w:r>
        <w:t>На региональном (муниципальном) уровне отдельные вопросы установления и применения мер административной ответственности могут быть определены законами субъектов РФ (</w:t>
      </w:r>
      <w:hyperlink r:id="rId70">
        <w:r>
          <w:rPr>
            <w:color w:val="0000FF"/>
          </w:rPr>
          <w:t>ч. 1 ст. 1.1</w:t>
        </w:r>
      </w:hyperlink>
      <w:r>
        <w:t xml:space="preserve">, </w:t>
      </w:r>
      <w:hyperlink r:id="rId71">
        <w:r>
          <w:rPr>
            <w:color w:val="0000FF"/>
          </w:rPr>
          <w:t>ст. 1.3.1</w:t>
        </w:r>
      </w:hyperlink>
      <w:r>
        <w:t xml:space="preserve"> КоАП РФ).</w:t>
      </w:r>
    </w:p>
    <w:p w14:paraId="6796551D" w14:textId="77777777" w:rsidR="00E77031" w:rsidRDefault="00E77031">
      <w:pPr>
        <w:pStyle w:val="ConsPlusNormal"/>
        <w:spacing w:before="220"/>
        <w:jc w:val="both"/>
      </w:pPr>
      <w:r>
        <w:t xml:space="preserve">По представлению проверяющих и по решению работодателя должностные лица (работники) объекта контроля могут быть привлечены также к дисциплинарной </w:t>
      </w:r>
      <w:hyperlink r:id="rId72">
        <w:r>
          <w:rPr>
            <w:color w:val="0000FF"/>
          </w:rPr>
          <w:t>ответственности</w:t>
        </w:r>
      </w:hyperlink>
      <w:r>
        <w:t>.</w:t>
      </w:r>
    </w:p>
    <w:p w14:paraId="0D4C280F" w14:textId="77777777" w:rsidR="00E77031" w:rsidRDefault="00E77031">
      <w:pPr>
        <w:pStyle w:val="ConsPlusNormal"/>
        <w:spacing w:before="220"/>
        <w:jc w:val="both"/>
      </w:pPr>
      <w:r>
        <w:t>Нецелевое расходование средств на сумму более 1,5 млн руб. является преступлением. Должностные лица несут за него уголовную ответственность: минимальное наказание - штраф в размере 100 тыс. руб., максимальное - лишение свободы на срок до пяти лет (</w:t>
      </w:r>
      <w:hyperlink r:id="rId73">
        <w:r>
          <w:rPr>
            <w:color w:val="0000FF"/>
          </w:rPr>
          <w:t>ст. ст. 285.1</w:t>
        </w:r>
      </w:hyperlink>
      <w:r>
        <w:t xml:space="preserve">, </w:t>
      </w:r>
      <w:hyperlink r:id="rId74">
        <w:r>
          <w:rPr>
            <w:color w:val="0000FF"/>
          </w:rPr>
          <w:t>285.2</w:t>
        </w:r>
      </w:hyperlink>
      <w:r>
        <w:t xml:space="preserve"> УК РФ).</w:t>
      </w:r>
    </w:p>
    <w:p w14:paraId="3DA977DA" w14:textId="77777777" w:rsidR="00E77031" w:rsidRDefault="00E77031">
      <w:pPr>
        <w:pStyle w:val="ConsPlusNormal"/>
        <w:jc w:val="both"/>
      </w:pPr>
    </w:p>
    <w:p w14:paraId="2967CD13" w14:textId="77777777" w:rsidR="00E77031" w:rsidRDefault="00E7703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E77031" w14:paraId="6CB81898" w14:textId="77777777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1471" w14:textId="77777777" w:rsidR="00E77031" w:rsidRDefault="00E77031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8A3F1EA" w14:textId="77777777" w:rsidR="00E77031" w:rsidRDefault="00E77031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D4BA1E6" wp14:editId="798EAA20">
                  <wp:extent cx="152400" cy="1524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484870F" w14:textId="77777777" w:rsidR="00E77031" w:rsidRDefault="00E77031">
            <w:pPr>
              <w:pStyle w:val="ConsPlusNormal"/>
              <w:jc w:val="both"/>
            </w:pPr>
            <w:r>
              <w:t>См. также:</w:t>
            </w:r>
          </w:p>
          <w:p w14:paraId="0B3E1741" w14:textId="77777777" w:rsidR="00E77031" w:rsidRDefault="00E77031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5">
              <w:r>
                <w:rPr>
                  <w:color w:val="0000FF"/>
                </w:rPr>
                <w:t>Могут ли привлечь бюджетные и автономные учреждения к ответственности за нецелевое использование средств субсидий</w:t>
              </w:r>
            </w:hyperlink>
          </w:p>
          <w:p w14:paraId="680ED30E" w14:textId="77777777" w:rsidR="00E77031" w:rsidRDefault="00E77031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6">
              <w:r>
                <w:rPr>
                  <w:color w:val="0000FF"/>
                </w:rPr>
                <w:t>Как привлекают к административной ответственности за правонарушения, выявленные органами государственного (муниципального) финансового контроля</w:t>
              </w:r>
            </w:hyperlink>
          </w:p>
          <w:p w14:paraId="1BC3B401" w14:textId="77777777" w:rsidR="00E77031" w:rsidRDefault="00E77031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7">
              <w:r>
                <w:rPr>
                  <w:color w:val="0000FF"/>
                </w:rPr>
                <w:t>Какие нарушения (риски) могут выявить при проверке ведения бухгалтерского (бюджетного) учета и составления отчетности организациями бюджетной сферы</w:t>
              </w:r>
            </w:hyperlink>
          </w:p>
          <w:p w14:paraId="3DDD3DC4" w14:textId="77777777" w:rsidR="00E77031" w:rsidRDefault="00E77031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8">
              <w:r>
                <w:rPr>
                  <w:color w:val="0000FF"/>
                </w:rPr>
                <w:t>Нарушения бюджетного законодательства и ответственность за них</w:t>
              </w:r>
            </w:hyperlink>
          </w:p>
          <w:p w14:paraId="6B9752E8" w14:textId="77777777" w:rsidR="00E77031" w:rsidRDefault="00E77031">
            <w:pPr>
              <w:pStyle w:val="ConsPlusNormal"/>
              <w:numPr>
                <w:ilvl w:val="0"/>
                <w:numId w:val="6"/>
              </w:numPr>
              <w:jc w:val="both"/>
            </w:pPr>
            <w:hyperlink r:id="rId79">
              <w:r>
                <w:rPr>
                  <w:color w:val="0000FF"/>
                </w:rPr>
                <w:t>Какие виды дисциплинарных взысканий могут быть применены работодателем к работнику учреждения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6BCB" w14:textId="77777777" w:rsidR="00E77031" w:rsidRDefault="00E77031">
            <w:pPr>
              <w:pStyle w:val="ConsPlusNormal"/>
            </w:pPr>
          </w:p>
        </w:tc>
      </w:tr>
    </w:tbl>
    <w:p w14:paraId="6D9474DB" w14:textId="77777777" w:rsidR="00E77031" w:rsidRDefault="00E77031">
      <w:pPr>
        <w:pStyle w:val="ConsPlusNormal"/>
        <w:jc w:val="both"/>
      </w:pPr>
    </w:p>
    <w:p w14:paraId="7353D64A" w14:textId="77777777" w:rsidR="00E77031" w:rsidRDefault="00E77031">
      <w:pPr>
        <w:pStyle w:val="ConsPlusNormal"/>
        <w:jc w:val="both"/>
      </w:pPr>
    </w:p>
    <w:p w14:paraId="7250C1E7" w14:textId="77777777" w:rsidR="00E77031" w:rsidRDefault="00E770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95DC22" w14:textId="77777777" w:rsidR="00BC4EE2" w:rsidRDefault="00BC4EE2"/>
    <w:sectPr w:rsidR="00BC4EE2" w:rsidSect="001D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779"/>
    <w:multiLevelType w:val="multilevel"/>
    <w:tmpl w:val="B09E19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C6B4F"/>
    <w:multiLevelType w:val="multilevel"/>
    <w:tmpl w:val="EA3814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43F54"/>
    <w:multiLevelType w:val="multilevel"/>
    <w:tmpl w:val="7C7280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C2DD5"/>
    <w:multiLevelType w:val="multilevel"/>
    <w:tmpl w:val="16E005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97F6E"/>
    <w:multiLevelType w:val="multilevel"/>
    <w:tmpl w:val="D7C676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8A0A06"/>
    <w:multiLevelType w:val="multilevel"/>
    <w:tmpl w:val="6638E8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31"/>
    <w:rsid w:val="00BC4EE2"/>
    <w:rsid w:val="00E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F7D3"/>
  <w15:chartTrackingRefBased/>
  <w15:docId w15:val="{F686A672-26C5-41CB-BC09-CC9958A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770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LAW&amp;n=185502&amp;dst=100787" TargetMode="External"/><Relationship Id="rId21" Type="http://schemas.openxmlformats.org/officeDocument/2006/relationships/hyperlink" Target="https://login.consultant.ru/link/?req=doc&amp;base=RZB&amp;n=461085&amp;dst=3714" TargetMode="External"/><Relationship Id="rId42" Type="http://schemas.openxmlformats.org/officeDocument/2006/relationships/hyperlink" Target="https://login.consultant.ru/link/?req=doc&amp;base=FKBS&amp;n=9" TargetMode="External"/><Relationship Id="rId47" Type="http://schemas.openxmlformats.org/officeDocument/2006/relationships/hyperlink" Target="https://login.consultant.ru/link/?req=doc&amp;base=RGSS&amp;n=42934&amp;dst=100054" TargetMode="External"/><Relationship Id="rId63" Type="http://schemas.openxmlformats.org/officeDocument/2006/relationships/hyperlink" Target="https://login.consultant.ru/link/?req=doc&amp;base=RZB&amp;n=461085&amp;dst=3730" TargetMode="External"/><Relationship Id="rId68" Type="http://schemas.openxmlformats.org/officeDocument/2006/relationships/hyperlink" Target="https://login.consultant.ru/link/?req=doc&amp;base=AVS&amp;n=108842&amp;dst=100038" TargetMode="External"/><Relationship Id="rId16" Type="http://schemas.openxmlformats.org/officeDocument/2006/relationships/hyperlink" Target="https://login.consultant.ru/link/?req=doc&amp;base=RZB&amp;n=460256&amp;dst=101818" TargetMode="External"/><Relationship Id="rId11" Type="http://schemas.openxmlformats.org/officeDocument/2006/relationships/hyperlink" Target="https://login.consultant.ru/link/?req=doc&amp;base=RZB&amp;n=462620&amp;dst=101750" TargetMode="External"/><Relationship Id="rId32" Type="http://schemas.openxmlformats.org/officeDocument/2006/relationships/hyperlink" Target="https://login.consultant.ru/link/?req=doc&amp;base=RZB&amp;n=461085&amp;dst=5834" TargetMode="External"/><Relationship Id="rId37" Type="http://schemas.openxmlformats.org/officeDocument/2006/relationships/hyperlink" Target="https://login.consultant.ru/link/?req=doc&amp;base=RZB&amp;n=453314&amp;dst=83" TargetMode="External"/><Relationship Id="rId53" Type="http://schemas.openxmlformats.org/officeDocument/2006/relationships/hyperlink" Target="https://login.consultant.ru/link/?req=doc&amp;base=MOB&amp;n=339285&amp;dst=100295" TargetMode="External"/><Relationship Id="rId58" Type="http://schemas.openxmlformats.org/officeDocument/2006/relationships/hyperlink" Target="https://login.consultant.ru/link/?req=doc&amp;base=MOB&amp;n=339285&amp;dst=100770" TargetMode="External"/><Relationship Id="rId74" Type="http://schemas.openxmlformats.org/officeDocument/2006/relationships/hyperlink" Target="https://login.consultant.ru/link/?req=doc&amp;base=RZB&amp;n=462992&amp;dst=103054" TargetMode="External"/><Relationship Id="rId79" Type="http://schemas.openxmlformats.org/officeDocument/2006/relationships/hyperlink" Target="https://login.consultant.ru/link/?req=doc&amp;base=PKBO&amp;n=3181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MOB&amp;n=339285&amp;dst=100853" TargetMode="External"/><Relationship Id="rId19" Type="http://schemas.openxmlformats.org/officeDocument/2006/relationships/hyperlink" Target="https://login.consultant.ru/link/?req=doc&amp;base=RZB&amp;n=460256&amp;dst=112564" TargetMode="External"/><Relationship Id="rId14" Type="http://schemas.openxmlformats.org/officeDocument/2006/relationships/hyperlink" Target="https://login.consultant.ru/link/?req=doc&amp;base=RZB&amp;n=462620&amp;dst=102963" TargetMode="External"/><Relationship Id="rId22" Type="http://schemas.openxmlformats.org/officeDocument/2006/relationships/hyperlink" Target="https://login.consultant.ru/link/?req=doc&amp;base=RZB&amp;n=461085&amp;dst=5806" TargetMode="External"/><Relationship Id="rId27" Type="http://schemas.openxmlformats.org/officeDocument/2006/relationships/hyperlink" Target="https://login.consultant.ru/link/?req=doc&amp;base=MLAW&amp;n=185502&amp;dst=100789" TargetMode="External"/><Relationship Id="rId30" Type="http://schemas.openxmlformats.org/officeDocument/2006/relationships/hyperlink" Target="https://login.consultant.ru/link/?req=doc&amp;base=FKBS&amp;n=38" TargetMode="External"/><Relationship Id="rId35" Type="http://schemas.openxmlformats.org/officeDocument/2006/relationships/hyperlink" Target="https://login.consultant.ru/link/?req=doc&amp;base=RZB&amp;n=451726&amp;dst=100475" TargetMode="External"/><Relationship Id="rId43" Type="http://schemas.openxmlformats.org/officeDocument/2006/relationships/hyperlink" Target="https://login.consultant.ru/link/?req=doc&amp;base=FKBS&amp;n=18" TargetMode="External"/><Relationship Id="rId48" Type="http://schemas.openxmlformats.org/officeDocument/2006/relationships/hyperlink" Target="https://login.consultant.ru/link/?req=doc&amp;base=RGSS&amp;n=40731&amp;dst=100040" TargetMode="External"/><Relationship Id="rId56" Type="http://schemas.openxmlformats.org/officeDocument/2006/relationships/hyperlink" Target="https://login.consultant.ru/link/?req=doc&amp;base=MOB&amp;n=339285&amp;dst=100756" TargetMode="External"/><Relationship Id="rId64" Type="http://schemas.openxmlformats.org/officeDocument/2006/relationships/hyperlink" Target="https://login.consultant.ru/link/?req=doc&amp;base=RZB&amp;n=464175&amp;dst=8551" TargetMode="External"/><Relationship Id="rId69" Type="http://schemas.openxmlformats.org/officeDocument/2006/relationships/hyperlink" Target="https://login.consultant.ru/link/?req=doc&amp;base=RZB&amp;n=464175&amp;dst=9860" TargetMode="External"/><Relationship Id="rId77" Type="http://schemas.openxmlformats.org/officeDocument/2006/relationships/hyperlink" Target="https://login.consultant.ru/link/?req=doc&amp;base=FKBS&amp;n=25" TargetMode="External"/><Relationship Id="rId8" Type="http://schemas.openxmlformats.org/officeDocument/2006/relationships/hyperlink" Target="https://login.consultant.ru/link/?req=doc&amp;base=RZB&amp;n=462620&amp;dst=102256" TargetMode="External"/><Relationship Id="rId51" Type="http://schemas.openxmlformats.org/officeDocument/2006/relationships/hyperlink" Target="https://login.consultant.ru/link/?req=doc&amp;base=MOB&amp;n=339285" TargetMode="External"/><Relationship Id="rId72" Type="http://schemas.openxmlformats.org/officeDocument/2006/relationships/hyperlink" Target="https://login.consultant.ru/link/?req=doc&amp;base=RZB&amp;n=433304&amp;dst=101183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62620&amp;dst=101358" TargetMode="External"/><Relationship Id="rId17" Type="http://schemas.openxmlformats.org/officeDocument/2006/relationships/hyperlink" Target="https://login.consultant.ru/link/?req=doc&amp;base=RZB&amp;n=460256&amp;dst=103173" TargetMode="External"/><Relationship Id="rId25" Type="http://schemas.openxmlformats.org/officeDocument/2006/relationships/hyperlink" Target="https://login.consultant.ru/link/?req=doc&amp;base=MOB&amp;n=312992&amp;dst=100363" TargetMode="External"/><Relationship Id="rId33" Type="http://schemas.openxmlformats.org/officeDocument/2006/relationships/hyperlink" Target="https://login.consultant.ru/link/?req=doc&amp;base=RZB&amp;n=451726&amp;dst=100174" TargetMode="External"/><Relationship Id="rId38" Type="http://schemas.openxmlformats.org/officeDocument/2006/relationships/hyperlink" Target="https://login.consultant.ru/link/?req=doc&amp;base=RZB&amp;n=434187&amp;dst=100043" TargetMode="External"/><Relationship Id="rId46" Type="http://schemas.openxmlformats.org/officeDocument/2006/relationships/hyperlink" Target="https://login.consultant.ru/link/?req=doc&amp;base=RGSS&amp;n=43191&amp;dst=100007" TargetMode="External"/><Relationship Id="rId59" Type="http://schemas.openxmlformats.org/officeDocument/2006/relationships/hyperlink" Target="https://login.consultant.ru/link/?req=doc&amp;base=MOB&amp;n=339285&amp;dst=100720" TargetMode="External"/><Relationship Id="rId67" Type="http://schemas.openxmlformats.org/officeDocument/2006/relationships/hyperlink" Target="https://login.consultant.ru/link/?req=doc&amp;base=ASZ&amp;n=245253&amp;dst=100051" TargetMode="External"/><Relationship Id="rId20" Type="http://schemas.openxmlformats.org/officeDocument/2006/relationships/hyperlink" Target="https://login.consultant.ru/link/?req=doc&amp;base=RZB&amp;n=460256&amp;dst=112828" TargetMode="External"/><Relationship Id="rId41" Type="http://schemas.openxmlformats.org/officeDocument/2006/relationships/hyperlink" Target="https://login.consultant.ru/link/?req=doc&amp;base=FKBS&amp;n=14" TargetMode="External"/><Relationship Id="rId54" Type="http://schemas.openxmlformats.org/officeDocument/2006/relationships/hyperlink" Target="https://login.consultant.ru/link/?req=doc&amp;base=MOB&amp;n=339285&amp;dst=100310" TargetMode="External"/><Relationship Id="rId62" Type="http://schemas.openxmlformats.org/officeDocument/2006/relationships/hyperlink" Target="https://login.consultant.ru/link/?req=doc&amp;base=RZB&amp;n=461085&amp;dst=3713" TargetMode="External"/><Relationship Id="rId70" Type="http://schemas.openxmlformats.org/officeDocument/2006/relationships/hyperlink" Target="https://login.consultant.ru/link/?req=doc&amp;base=RZB&amp;n=464175&amp;dst=100010" TargetMode="External"/><Relationship Id="rId75" Type="http://schemas.openxmlformats.org/officeDocument/2006/relationships/hyperlink" Target="https://login.consultant.ru/link/?req=doc&amp;base=PKBO&amp;n=31882&amp;dst=1000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1085&amp;dst=4934" TargetMode="External"/><Relationship Id="rId15" Type="http://schemas.openxmlformats.org/officeDocument/2006/relationships/hyperlink" Target="https://login.consultant.ru/link/?req=doc&amp;base=RZB&amp;n=460256" TargetMode="External"/><Relationship Id="rId23" Type="http://schemas.openxmlformats.org/officeDocument/2006/relationships/hyperlink" Target="https://login.consultant.ru/link/?req=doc&amp;base=RZB&amp;n=414539&amp;dst=100014" TargetMode="External"/><Relationship Id="rId28" Type="http://schemas.openxmlformats.org/officeDocument/2006/relationships/hyperlink" Target="https://login.consultant.ru/link/?req=doc&amp;base=MLAW&amp;n=185502&amp;dst=100788" TargetMode="External"/><Relationship Id="rId36" Type="http://schemas.openxmlformats.org/officeDocument/2006/relationships/hyperlink" Target="https://login.consultant.ru/link/?req=doc&amp;base=RZB&amp;n=453314&amp;dst=100115" TargetMode="External"/><Relationship Id="rId49" Type="http://schemas.openxmlformats.org/officeDocument/2006/relationships/hyperlink" Target="https://login.consultant.ru/link/?req=doc&amp;base=RGSS&amp;n=38175&amp;dst=100009" TargetMode="External"/><Relationship Id="rId57" Type="http://schemas.openxmlformats.org/officeDocument/2006/relationships/hyperlink" Target="https://login.consultant.ru/link/?req=doc&amp;base=MOB&amp;n=339285&amp;dst=100720" TargetMode="External"/><Relationship Id="rId10" Type="http://schemas.openxmlformats.org/officeDocument/2006/relationships/hyperlink" Target="https://login.consultant.ru/link/?req=doc&amp;base=RZB&amp;n=462620&amp;dst=101961" TargetMode="External"/><Relationship Id="rId31" Type="http://schemas.openxmlformats.org/officeDocument/2006/relationships/hyperlink" Target="https://login.consultant.ru/link/?req=doc&amp;base=RZB&amp;n=461085&amp;dst=3695" TargetMode="External"/><Relationship Id="rId44" Type="http://schemas.openxmlformats.org/officeDocument/2006/relationships/hyperlink" Target="https://login.consultant.ru/link/?req=doc&amp;base=RGSS&amp;n=50682&amp;dst=100013" TargetMode="External"/><Relationship Id="rId52" Type="http://schemas.openxmlformats.org/officeDocument/2006/relationships/hyperlink" Target="https://login.consultant.ru/link/?req=doc&amp;base=MOB&amp;n=339285&amp;dst=100309" TargetMode="External"/><Relationship Id="rId60" Type="http://schemas.openxmlformats.org/officeDocument/2006/relationships/hyperlink" Target="https://login.consultant.ru/link/?req=doc&amp;base=MOB&amp;n=339285&amp;dst=100978" TargetMode="External"/><Relationship Id="rId65" Type="http://schemas.openxmlformats.org/officeDocument/2006/relationships/hyperlink" Target="https://login.consultant.ru/link/?req=doc&amp;base=RZB&amp;n=464175&amp;dst=8561" TargetMode="External"/><Relationship Id="rId73" Type="http://schemas.openxmlformats.org/officeDocument/2006/relationships/hyperlink" Target="https://login.consultant.ru/link/?req=doc&amp;base=RZB&amp;n=462992&amp;dst=103045" TargetMode="External"/><Relationship Id="rId78" Type="http://schemas.openxmlformats.org/officeDocument/2006/relationships/hyperlink" Target="https://login.consultant.ru/link/?req=doc&amp;base=PBUN&amp;n=18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2620&amp;dst=101945" TargetMode="External"/><Relationship Id="rId13" Type="http://schemas.openxmlformats.org/officeDocument/2006/relationships/hyperlink" Target="https://login.consultant.ru/link/?req=doc&amp;base=RZB&amp;n=462620&amp;dst=102908" TargetMode="External"/><Relationship Id="rId18" Type="http://schemas.openxmlformats.org/officeDocument/2006/relationships/hyperlink" Target="https://login.consultant.ru/link/?req=doc&amp;base=RZB&amp;n=460256&amp;dst=105539" TargetMode="External"/><Relationship Id="rId39" Type="http://schemas.openxmlformats.org/officeDocument/2006/relationships/hyperlink" Target="https://login.consultant.ru/link/?req=doc&amp;base=RZB&amp;n=441080&amp;dst=100156" TargetMode="External"/><Relationship Id="rId34" Type="http://schemas.openxmlformats.org/officeDocument/2006/relationships/hyperlink" Target="https://login.consultant.ru/link/?req=doc&amp;base=RZB&amp;n=451726&amp;dst=34" TargetMode="External"/><Relationship Id="rId50" Type="http://schemas.openxmlformats.org/officeDocument/2006/relationships/hyperlink" Target="https://login.consultant.ru/link/?req=doc&amp;base=RGSS&amp;n=32271&amp;dst=100012" TargetMode="External"/><Relationship Id="rId55" Type="http://schemas.openxmlformats.org/officeDocument/2006/relationships/hyperlink" Target="https://login.consultant.ru/link/?req=doc&amp;base=MOB&amp;n=339285&amp;dst=100295" TargetMode="External"/><Relationship Id="rId76" Type="http://schemas.openxmlformats.org/officeDocument/2006/relationships/hyperlink" Target="https://login.consultant.ru/link/?req=doc&amp;base=FKBS&amp;n=61" TargetMode="External"/><Relationship Id="rId7" Type="http://schemas.openxmlformats.org/officeDocument/2006/relationships/hyperlink" Target="https://login.consultant.ru/link/?req=doc&amp;base=RZB&amp;n=462620&amp;dst=101099" TargetMode="External"/><Relationship Id="rId71" Type="http://schemas.openxmlformats.org/officeDocument/2006/relationships/hyperlink" Target="https://login.consultant.ru/link/?req=doc&amp;base=RZB&amp;n=464175&amp;dst=1589" TargetMode="External"/><Relationship Id="rId2" Type="http://schemas.openxmlformats.org/officeDocument/2006/relationships/styles" Target="styles.xml"/><Relationship Id="rId29" Type="http://schemas.openxmlformats.org/officeDocument/2006/relationships/image" Target="media/image1.png"/><Relationship Id="rId24" Type="http://schemas.openxmlformats.org/officeDocument/2006/relationships/hyperlink" Target="https://login.consultant.ru/link/?req=doc&amp;base=RZB&amp;n=462620&amp;dst=101099" TargetMode="External"/><Relationship Id="rId40" Type="http://schemas.openxmlformats.org/officeDocument/2006/relationships/hyperlink" Target="https://login.consultant.ru/link/?req=doc&amp;base=FKBS&amp;n=13" TargetMode="External"/><Relationship Id="rId45" Type="http://schemas.openxmlformats.org/officeDocument/2006/relationships/hyperlink" Target="https://login.consultant.ru/link/?req=doc&amp;base=RGSS&amp;n=46998&amp;dst=100046" TargetMode="External"/><Relationship Id="rId66" Type="http://schemas.openxmlformats.org/officeDocument/2006/relationships/hyperlink" Target="https://login.consultant.ru/link/?req=doc&amp;base=RZB&amp;n=464175&amp;dst=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2691</Words>
  <Characters>15341</Characters>
  <Application>Microsoft Office Word</Application>
  <DocSecurity>0</DocSecurity>
  <Lines>127</Lines>
  <Paragraphs>35</Paragraphs>
  <ScaleCrop>false</ScaleCrop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2023-12-27T07:28:00Z</dcterms:created>
  <dcterms:modified xsi:type="dcterms:W3CDTF">2023-12-27T07:29:00Z</dcterms:modified>
</cp:coreProperties>
</file>