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4F" w:rsidRPr="00B326BE" w:rsidRDefault="00224D4F" w:rsidP="00097F87">
      <w:pPr>
        <w:ind w:firstLine="709"/>
        <w:jc w:val="center"/>
        <w:rPr>
          <w:b/>
          <w:color w:val="000000"/>
          <w:sz w:val="28"/>
          <w:szCs w:val="28"/>
        </w:rPr>
      </w:pPr>
      <w:r w:rsidRPr="00B326BE">
        <w:rPr>
          <w:b/>
          <w:color w:val="000000"/>
          <w:sz w:val="28"/>
          <w:szCs w:val="28"/>
        </w:rPr>
        <w:t>Информация по исполнению мероприятий «дорожной карты» по муниципальному району Мелеузовский район Республики Башкортостан</w:t>
      </w:r>
    </w:p>
    <w:p w:rsidR="00224D4F" w:rsidRPr="00B326BE" w:rsidRDefault="00224D4F" w:rsidP="00077393">
      <w:pPr>
        <w:ind w:firstLine="709"/>
        <w:jc w:val="both"/>
        <w:rPr>
          <w:color w:val="000000"/>
          <w:sz w:val="28"/>
          <w:szCs w:val="28"/>
        </w:rPr>
      </w:pPr>
    </w:p>
    <w:p w:rsidR="00224D4F" w:rsidRPr="00B326BE" w:rsidRDefault="00224D4F" w:rsidP="002B3C06">
      <w:pPr>
        <w:widowControl w:val="0"/>
        <w:ind w:firstLine="708"/>
        <w:jc w:val="both"/>
        <w:rPr>
          <w:sz w:val="28"/>
          <w:szCs w:val="28"/>
        </w:rPr>
      </w:pPr>
      <w:r w:rsidRPr="00B326BE">
        <w:rPr>
          <w:sz w:val="28"/>
          <w:szCs w:val="28"/>
        </w:rPr>
        <w:t>Общий эффект от реализации мероприятий Дорожной карты за период 201</w:t>
      </w:r>
      <w:r w:rsidR="007F2D9B" w:rsidRPr="00B326BE">
        <w:rPr>
          <w:sz w:val="28"/>
          <w:szCs w:val="28"/>
        </w:rPr>
        <w:t>7</w:t>
      </w:r>
      <w:r w:rsidRPr="00B326BE">
        <w:rPr>
          <w:sz w:val="28"/>
          <w:szCs w:val="28"/>
        </w:rPr>
        <w:t>-20</w:t>
      </w:r>
      <w:r w:rsidR="007F2D9B" w:rsidRPr="00B326BE">
        <w:rPr>
          <w:sz w:val="28"/>
          <w:szCs w:val="28"/>
        </w:rPr>
        <w:t>20</w:t>
      </w:r>
      <w:r w:rsidRPr="00B326BE">
        <w:rPr>
          <w:sz w:val="28"/>
          <w:szCs w:val="28"/>
        </w:rPr>
        <w:t xml:space="preserve"> годы планируется в размере </w:t>
      </w:r>
      <w:r w:rsidR="007F2D9B" w:rsidRPr="00B326BE">
        <w:rPr>
          <w:sz w:val="28"/>
          <w:szCs w:val="28"/>
        </w:rPr>
        <w:t>343,5</w:t>
      </w:r>
      <w:r w:rsidRPr="00B326BE">
        <w:rPr>
          <w:sz w:val="28"/>
          <w:szCs w:val="28"/>
        </w:rPr>
        <w:t xml:space="preserve"> млн. рублей или 10,</w:t>
      </w:r>
      <w:r w:rsidR="002949B0" w:rsidRPr="00B326BE">
        <w:rPr>
          <w:sz w:val="28"/>
          <w:szCs w:val="28"/>
        </w:rPr>
        <w:t>9</w:t>
      </w:r>
      <w:r w:rsidRPr="00B326BE">
        <w:rPr>
          <w:sz w:val="28"/>
          <w:szCs w:val="28"/>
        </w:rPr>
        <w:t xml:space="preserve"> % от суммы утвержденных расходов </w:t>
      </w:r>
      <w:r w:rsidRPr="00B326BE">
        <w:rPr>
          <w:i/>
          <w:sz w:val="28"/>
          <w:szCs w:val="28"/>
        </w:rPr>
        <w:t>(по 013 группе),</w:t>
      </w:r>
      <w:r w:rsidRPr="00B326BE">
        <w:rPr>
          <w:sz w:val="28"/>
          <w:szCs w:val="28"/>
        </w:rPr>
        <w:t xml:space="preserve"> в том числе в 2017 году </w:t>
      </w:r>
      <w:r w:rsidR="002949B0" w:rsidRPr="00B326BE">
        <w:rPr>
          <w:sz w:val="28"/>
          <w:szCs w:val="28"/>
        </w:rPr>
        <w:t xml:space="preserve">– </w:t>
      </w:r>
      <w:r w:rsidRPr="00B326BE">
        <w:rPr>
          <w:sz w:val="28"/>
          <w:szCs w:val="28"/>
        </w:rPr>
        <w:t>8</w:t>
      </w:r>
      <w:r w:rsidR="002949B0" w:rsidRPr="00B326BE">
        <w:rPr>
          <w:sz w:val="28"/>
          <w:szCs w:val="28"/>
        </w:rPr>
        <w:t>5,1</w:t>
      </w:r>
      <w:r w:rsidRPr="00B326BE">
        <w:rPr>
          <w:sz w:val="28"/>
          <w:szCs w:val="28"/>
        </w:rPr>
        <w:t xml:space="preserve"> млн. рублей (11,</w:t>
      </w:r>
      <w:r w:rsidR="002949B0" w:rsidRPr="00B326BE">
        <w:rPr>
          <w:sz w:val="28"/>
          <w:szCs w:val="28"/>
        </w:rPr>
        <w:t>8</w:t>
      </w:r>
      <w:r w:rsidRPr="00B326BE">
        <w:rPr>
          <w:sz w:val="28"/>
          <w:szCs w:val="28"/>
        </w:rPr>
        <w:t xml:space="preserve"> %). Исполнение по состоянию на 1 </w:t>
      </w:r>
      <w:r w:rsidR="002949B0" w:rsidRPr="00B326BE">
        <w:rPr>
          <w:sz w:val="28"/>
          <w:szCs w:val="28"/>
        </w:rPr>
        <w:t>января 2018</w:t>
      </w:r>
      <w:r w:rsidRPr="00B326BE">
        <w:rPr>
          <w:sz w:val="28"/>
          <w:szCs w:val="28"/>
        </w:rPr>
        <w:t xml:space="preserve"> года составило </w:t>
      </w:r>
      <w:r w:rsidR="00BF6C33" w:rsidRPr="00B326BE">
        <w:rPr>
          <w:sz w:val="28"/>
          <w:szCs w:val="28"/>
        </w:rPr>
        <w:t>1</w:t>
      </w:r>
      <w:r w:rsidR="00FC1768">
        <w:rPr>
          <w:sz w:val="28"/>
          <w:szCs w:val="28"/>
        </w:rPr>
        <w:t>26,2</w:t>
      </w:r>
      <w:r w:rsidRPr="00B326BE">
        <w:rPr>
          <w:sz w:val="28"/>
          <w:szCs w:val="28"/>
        </w:rPr>
        <w:t xml:space="preserve"> млн. рублей, или </w:t>
      </w:r>
      <w:r w:rsidR="00BF6C33" w:rsidRPr="00B326BE">
        <w:rPr>
          <w:sz w:val="28"/>
          <w:szCs w:val="28"/>
        </w:rPr>
        <w:t>1</w:t>
      </w:r>
      <w:r w:rsidR="00FC1768">
        <w:rPr>
          <w:sz w:val="28"/>
          <w:szCs w:val="28"/>
        </w:rPr>
        <w:t>48,3</w:t>
      </w:r>
      <w:r w:rsidRPr="00B326BE">
        <w:rPr>
          <w:sz w:val="28"/>
          <w:szCs w:val="28"/>
        </w:rPr>
        <w:t xml:space="preserve"> % от годового плана. </w:t>
      </w:r>
    </w:p>
    <w:p w:rsidR="00224D4F" w:rsidRPr="00B326BE" w:rsidRDefault="00224D4F" w:rsidP="002B3C06">
      <w:pPr>
        <w:widowControl w:val="0"/>
        <w:ind w:firstLine="708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Исполнение наблюдается преимущественно за счет мероприятий доходной части – </w:t>
      </w:r>
      <w:r w:rsidR="00BF6C33" w:rsidRPr="00B326BE">
        <w:rPr>
          <w:sz w:val="28"/>
          <w:szCs w:val="28"/>
        </w:rPr>
        <w:t>90 271,8</w:t>
      </w:r>
      <w:r w:rsidRPr="00B326BE">
        <w:rPr>
          <w:sz w:val="28"/>
          <w:szCs w:val="28"/>
        </w:rPr>
        <w:t xml:space="preserve"> тыс. рублей или 1</w:t>
      </w:r>
      <w:r w:rsidR="00AA4F26" w:rsidRPr="00B326BE">
        <w:rPr>
          <w:sz w:val="28"/>
          <w:szCs w:val="28"/>
        </w:rPr>
        <w:t>32,6</w:t>
      </w:r>
      <w:r w:rsidRPr="00B326BE">
        <w:rPr>
          <w:sz w:val="28"/>
          <w:szCs w:val="28"/>
        </w:rPr>
        <w:t xml:space="preserve"> %. За счет расходной части экономический эффект составил </w:t>
      </w:r>
      <w:r w:rsidR="00FC1768">
        <w:rPr>
          <w:sz w:val="28"/>
          <w:szCs w:val="28"/>
        </w:rPr>
        <w:t>35 924,8</w:t>
      </w:r>
      <w:r w:rsidRPr="00B326BE">
        <w:rPr>
          <w:sz w:val="28"/>
          <w:szCs w:val="28"/>
        </w:rPr>
        <w:t xml:space="preserve"> тыс. рублей или </w:t>
      </w:r>
      <w:r w:rsidR="00FC1768">
        <w:rPr>
          <w:sz w:val="28"/>
          <w:szCs w:val="28"/>
        </w:rPr>
        <w:t>212,1</w:t>
      </w:r>
      <w:r w:rsidRPr="00B326BE">
        <w:rPr>
          <w:sz w:val="28"/>
          <w:szCs w:val="28"/>
        </w:rPr>
        <w:t xml:space="preserve"> %.</w:t>
      </w:r>
    </w:p>
    <w:p w:rsidR="00224D4F" w:rsidRPr="00B326BE" w:rsidRDefault="00224D4F" w:rsidP="0028701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24D4F" w:rsidRPr="00B326BE" w:rsidRDefault="00224D4F" w:rsidP="005F09A9">
      <w:pPr>
        <w:widowControl w:val="0"/>
        <w:jc w:val="center"/>
        <w:rPr>
          <w:b/>
          <w:color w:val="000000"/>
          <w:sz w:val="28"/>
          <w:szCs w:val="28"/>
        </w:rPr>
      </w:pPr>
      <w:r w:rsidRPr="00B326BE">
        <w:rPr>
          <w:b/>
          <w:color w:val="000000"/>
          <w:sz w:val="28"/>
          <w:szCs w:val="28"/>
        </w:rPr>
        <w:t>По доходам:</w:t>
      </w:r>
    </w:p>
    <w:p w:rsidR="00224D4F" w:rsidRPr="00B326BE" w:rsidRDefault="00224D4F" w:rsidP="005F09A9">
      <w:pPr>
        <w:widowControl w:val="0"/>
        <w:jc w:val="center"/>
        <w:rPr>
          <w:b/>
          <w:color w:val="000000"/>
          <w:sz w:val="28"/>
          <w:szCs w:val="28"/>
        </w:rPr>
      </w:pP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>Основной рост доходной части бюджета муниципального района Мелеузовский район Республики Башкортостан в 2017 году планировалось получить за счет реализации комплекса мероприятий по организации мониторинга поступлений налоговых и неналоговых доходов в бюджет района и активизации работы комиссии по легализации объектов налогообложения. Ожидаемая сумма экономического эффекта по разделам «Повышение доходного потенциала муниципального района» и «Развитие предпринимательства» на 2017 год составляла 68,1 млн.</w:t>
      </w:r>
      <w:r w:rsidR="00AA4F26" w:rsidRPr="00B326BE">
        <w:rPr>
          <w:sz w:val="28"/>
          <w:szCs w:val="28"/>
        </w:rPr>
        <w:t xml:space="preserve"> </w:t>
      </w:r>
      <w:r w:rsidRPr="00B326BE">
        <w:rPr>
          <w:sz w:val="28"/>
          <w:szCs w:val="28"/>
        </w:rPr>
        <w:t xml:space="preserve">руб. 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 По состоянию на 01.01.2018г. все мероприятия актуализированной Дорожной карты, утвержденной постановлением главы администрации муниципального района Мелеузовский район Республики Башкортостан от </w:t>
      </w:r>
      <w:r w:rsidR="00AA4F26" w:rsidRPr="00B326BE">
        <w:rPr>
          <w:sz w:val="28"/>
          <w:szCs w:val="28"/>
        </w:rPr>
        <w:t>29.12.2017 г.</w:t>
      </w:r>
      <w:r w:rsidRPr="00B326BE">
        <w:rPr>
          <w:sz w:val="28"/>
          <w:szCs w:val="28"/>
        </w:rPr>
        <w:t xml:space="preserve"> № </w:t>
      </w:r>
      <w:r w:rsidR="00AA4F26" w:rsidRPr="00B326BE">
        <w:rPr>
          <w:sz w:val="28"/>
          <w:szCs w:val="28"/>
        </w:rPr>
        <w:t>2325</w:t>
      </w:r>
      <w:r w:rsidRPr="00B326BE">
        <w:rPr>
          <w:sz w:val="28"/>
          <w:szCs w:val="28"/>
        </w:rPr>
        <w:t xml:space="preserve">   выполнены, в том числе: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Мероприятия по организации мониторинга поступлений налоговых и неналоговых доходов (план 16000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., достигнутый экономический эффект – 17873,6 тыс. рублей, или на 11,7% больше, чем планировалось в 2017 году), в </w:t>
      </w:r>
      <w:proofErr w:type="spellStart"/>
      <w:r w:rsidRPr="00B326BE">
        <w:rPr>
          <w:sz w:val="28"/>
          <w:szCs w:val="28"/>
        </w:rPr>
        <w:t>т.ч</w:t>
      </w:r>
      <w:proofErr w:type="spellEnd"/>
      <w:r w:rsidRPr="00B326BE">
        <w:rPr>
          <w:sz w:val="28"/>
          <w:szCs w:val="28"/>
        </w:rPr>
        <w:t>.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1) Мероприятия по обеспечению роста поступлений налогов на совокупный доход не ниже среднего темпа роста по республике (план 8000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., достигнутый экономический эффект – 14296 тыс. рублей, или на 78,7%) из них за счет: 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а) поступления недоимки и задолженности по налогам на совокупный доход в сумме 6,2 </w:t>
      </w:r>
      <w:proofErr w:type="spell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 xml:space="preserve">., в </w:t>
      </w:r>
      <w:proofErr w:type="spellStart"/>
      <w:r w:rsidRPr="00B326BE">
        <w:rPr>
          <w:sz w:val="28"/>
          <w:szCs w:val="28"/>
        </w:rPr>
        <w:t>т.ч</w:t>
      </w:r>
      <w:proofErr w:type="spellEnd"/>
      <w:r w:rsidRPr="00B326BE">
        <w:rPr>
          <w:sz w:val="28"/>
          <w:szCs w:val="28"/>
        </w:rPr>
        <w:t xml:space="preserve">. крупные ООО «Мастер-А» 1,7 </w:t>
      </w:r>
      <w:proofErr w:type="spellStart"/>
      <w:proofErr w:type="gram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>. ,</w:t>
      </w:r>
      <w:proofErr w:type="gramEnd"/>
      <w:r w:rsidRPr="00B326BE">
        <w:rPr>
          <w:sz w:val="28"/>
          <w:szCs w:val="28"/>
        </w:rPr>
        <w:t xml:space="preserve"> ООО «Эрудит» 1,5 </w:t>
      </w:r>
      <w:proofErr w:type="spell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 xml:space="preserve">., ООО Стройматериалы-Мелеуз 0,7 </w:t>
      </w:r>
      <w:proofErr w:type="spell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 xml:space="preserve">., ООО СК </w:t>
      </w:r>
      <w:proofErr w:type="spellStart"/>
      <w:r w:rsidRPr="00B326BE">
        <w:rPr>
          <w:sz w:val="28"/>
          <w:szCs w:val="28"/>
        </w:rPr>
        <w:t>Евродом</w:t>
      </w:r>
      <w:proofErr w:type="spellEnd"/>
      <w:r w:rsidRPr="00B326BE">
        <w:rPr>
          <w:sz w:val="28"/>
          <w:szCs w:val="28"/>
        </w:rPr>
        <w:t xml:space="preserve"> – 0,7 </w:t>
      </w:r>
      <w:proofErr w:type="spell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 xml:space="preserve">. 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б) поступлений от новых плательщиков в сумме 3,8 </w:t>
      </w:r>
      <w:proofErr w:type="spell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 xml:space="preserve">., в </w:t>
      </w:r>
      <w:proofErr w:type="spellStart"/>
      <w:r w:rsidRPr="00B326BE">
        <w:rPr>
          <w:sz w:val="28"/>
          <w:szCs w:val="28"/>
        </w:rPr>
        <w:t>т.ч</w:t>
      </w:r>
      <w:proofErr w:type="spellEnd"/>
      <w:r w:rsidRPr="00B326BE">
        <w:rPr>
          <w:sz w:val="28"/>
          <w:szCs w:val="28"/>
        </w:rPr>
        <w:t xml:space="preserve">. крупные ООО ТПП Колос в сумме 1,2 </w:t>
      </w:r>
      <w:proofErr w:type="spellStart"/>
      <w:r w:rsidRPr="00B326BE">
        <w:rPr>
          <w:sz w:val="28"/>
          <w:szCs w:val="28"/>
        </w:rPr>
        <w:t>млн.руб</w:t>
      </w:r>
      <w:proofErr w:type="spellEnd"/>
      <w:r w:rsidRPr="00B326BE">
        <w:rPr>
          <w:sz w:val="28"/>
          <w:szCs w:val="28"/>
        </w:rPr>
        <w:t>.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2) Мероприятия по обеспечению темпов роста поступлений НДФЛ темпам роста фонда заработной платы (план отсутствовал, в связи с банкротством основного налогоплательщика ООО «БПК», достигнутый экономический эффект 2769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 за счет наращивания темпов роста фонда заработной платы промышленных предприятий, а также поступления недоимки прошлых лет ОАО </w:t>
      </w:r>
      <w:proofErr w:type="spellStart"/>
      <w:r w:rsidRPr="00B326BE">
        <w:rPr>
          <w:sz w:val="28"/>
          <w:szCs w:val="28"/>
        </w:rPr>
        <w:t>Зирганской</w:t>
      </w:r>
      <w:proofErr w:type="spellEnd"/>
      <w:r w:rsidRPr="00B326BE">
        <w:rPr>
          <w:sz w:val="28"/>
          <w:szCs w:val="28"/>
        </w:rPr>
        <w:t xml:space="preserve"> МТС). Темп роста поступлений НДФЛ (в сопоставимых нормативах) на 01.01.2018г. составил 101,17%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3) Мероприятия по обеспечению темпов роста поступлений неналоговых доходов не ниже среднего темпа роста по республике (план отсутствовал, в связи </w:t>
      </w:r>
      <w:r w:rsidRPr="00B326BE">
        <w:rPr>
          <w:sz w:val="28"/>
          <w:szCs w:val="28"/>
        </w:rPr>
        <w:lastRenderedPageBreak/>
        <w:t xml:space="preserve">со снижением поступлений по выкупу муниципального имущества по сравнению с 2016г., достигнутый экономический эффект составил 803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 за счет расширения административной практики, нормативного регулирования договорных отношений по предоставлению права на размещение рекламных конструкций и объектов нестационарной торговли)  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Мероприятия по принятию мер по расширению налогооблагаемой базы (план 700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>., достигнутый экономический эффект – 931 тыс. рублей, или 133,0%) из них за счет: создания 121 новых рабочих мест по видам деятельности обрабатывающее производство, строительство, производство и установка детских площадок, деятельность спортивных объектов, организация отдых и оздоровления и др.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>Мероприятия по организаци</w:t>
      </w:r>
      <w:r w:rsidR="00AA4F26" w:rsidRPr="00B326BE">
        <w:rPr>
          <w:sz w:val="28"/>
          <w:szCs w:val="28"/>
        </w:rPr>
        <w:t>и</w:t>
      </w:r>
      <w:r w:rsidRPr="00B326BE">
        <w:rPr>
          <w:sz w:val="28"/>
          <w:szCs w:val="28"/>
        </w:rPr>
        <w:t xml:space="preserve"> мониторинга расчетов с бюджетом крупнейших налогоплательщиков (план 1600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>., достигнутый экономический эффект – 2940 тыс. рублей, или 183,7%);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Мероприятия по активизации работы комиссий по легализации объектов налогообложения (план 25180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., достигнутый экономический эффект – 34032 тыс. рублей, или 135,2%). Проведено 24 заседания комиссии, заслушано 168 руководителей промышленных, сельскохозяйственных предприятий, индивидуальных предпринимателей и физических лиц. 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Проведения оценки эффективности налоговых льгот и ставок налогов по местным налогам. (план 19000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., достигнутый экономический эффект 24857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>. или 130,8%) за счет отмены пониженных ставок налога для бюджетных, казенных и автономных учреждений независимо от источника финансирования.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Осуществление мероприятий по погашению дебиторской задолженности в бюджет (план 1530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>., достигнутый экономический эффект – 1908 тыс. рублей, или 124,7%).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Принятие мер по увеличению неналоговых доходов в консолидированный бюджет (план 172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., достигнутый экономический эффект – 287 тыс. рублей, или 166,7%), в </w:t>
      </w:r>
      <w:proofErr w:type="spellStart"/>
      <w:r w:rsidRPr="00B326BE">
        <w:rPr>
          <w:sz w:val="28"/>
          <w:szCs w:val="28"/>
        </w:rPr>
        <w:t>т.ч</w:t>
      </w:r>
      <w:proofErr w:type="spellEnd"/>
      <w:r w:rsidRPr="00B326BE">
        <w:rPr>
          <w:sz w:val="28"/>
          <w:szCs w:val="28"/>
        </w:rPr>
        <w:t xml:space="preserve">. 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>а) увеличения ставки арендной платы за землю по участкам индивидуальных гаражей, хозяйственных построек, связи и коммунального хозяйства с 1,5% до 1,57%</w:t>
      </w:r>
    </w:p>
    <w:p w:rsidR="00BF6C33" w:rsidRPr="00B326BE" w:rsidRDefault="00BF6C33" w:rsidP="00BF6C33">
      <w:pPr>
        <w:ind w:firstLine="720"/>
        <w:jc w:val="both"/>
        <w:rPr>
          <w:sz w:val="28"/>
          <w:szCs w:val="28"/>
        </w:rPr>
      </w:pPr>
      <w:r w:rsidRPr="00B326BE">
        <w:rPr>
          <w:sz w:val="28"/>
          <w:szCs w:val="28"/>
        </w:rPr>
        <w:t>б) проведения рейдовых проверок по местам разработки карьеров, мероприятий земельного контроля.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Реализация мер по привлечению нанимателей муниципального жилого фонда к уплате взносов на капитальный ремонт общего имущества многоквартирных домов (план 675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>., достигнутый экономический эффект – 844 тыс. рублей, или 125,0%);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Мероприятия по развитию муниципального дорожного фонда, путем оформления права собственности на автомобильные дороги общего пользования местного значения муниципального района Мелеузовский район Республики Башкортостан (план 2000, достигнутый экономический эффект 5246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>. или в 2,6 раза);</w:t>
      </w:r>
    </w:p>
    <w:p w:rsidR="00BF6C33" w:rsidRPr="00B326BE" w:rsidRDefault="00BF6C33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B326BE">
        <w:rPr>
          <w:sz w:val="28"/>
          <w:szCs w:val="28"/>
        </w:rPr>
        <w:t xml:space="preserve">Организация работы по участию муниципальных образований Мелеузовского района в программе поддержки местных инициатив с учетом </w:t>
      </w:r>
      <w:r w:rsidRPr="00B326BE">
        <w:rPr>
          <w:sz w:val="28"/>
          <w:szCs w:val="28"/>
        </w:rPr>
        <w:lastRenderedPageBreak/>
        <w:t xml:space="preserve">привлечения средств граждан и спонсоров для решения вопросов местного значения (план 900 </w:t>
      </w:r>
      <w:proofErr w:type="spellStart"/>
      <w:r w:rsidRPr="00B326BE">
        <w:rPr>
          <w:sz w:val="28"/>
          <w:szCs w:val="28"/>
        </w:rPr>
        <w:t>тыс.руб</w:t>
      </w:r>
      <w:proofErr w:type="spellEnd"/>
      <w:r w:rsidRPr="00B326BE">
        <w:rPr>
          <w:sz w:val="28"/>
          <w:szCs w:val="28"/>
        </w:rPr>
        <w:t xml:space="preserve">., достигнутый экономический эффект – 922 тыс. рублей, или 102,4%). </w:t>
      </w:r>
    </w:p>
    <w:p w:rsidR="00224D4F" w:rsidRPr="00B326BE" w:rsidRDefault="00224D4F" w:rsidP="00F84B46">
      <w:pPr>
        <w:widowControl w:val="0"/>
        <w:jc w:val="center"/>
        <w:rPr>
          <w:b/>
          <w:color w:val="000000"/>
          <w:sz w:val="28"/>
          <w:szCs w:val="28"/>
        </w:rPr>
      </w:pPr>
      <w:r w:rsidRPr="00B326BE">
        <w:rPr>
          <w:b/>
          <w:color w:val="000000"/>
          <w:sz w:val="28"/>
          <w:szCs w:val="28"/>
        </w:rPr>
        <w:t>По расходам:</w:t>
      </w:r>
    </w:p>
    <w:p w:rsidR="00224D4F" w:rsidRPr="00B326BE" w:rsidRDefault="00224D4F" w:rsidP="00E116FA">
      <w:pPr>
        <w:widowControl w:val="0"/>
        <w:ind w:firstLine="708"/>
        <w:jc w:val="center"/>
        <w:rPr>
          <w:b/>
          <w:color w:val="000000"/>
          <w:sz w:val="28"/>
          <w:szCs w:val="28"/>
        </w:rPr>
      </w:pPr>
    </w:p>
    <w:p w:rsidR="00224D4F" w:rsidRPr="00B326BE" w:rsidRDefault="00224D4F" w:rsidP="0046052B">
      <w:pPr>
        <w:pStyle w:val="aa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>Основной рост в 2017 году планир</w:t>
      </w:r>
      <w:r w:rsidR="00AA4F26" w:rsidRPr="00B326BE">
        <w:rPr>
          <w:color w:val="000000"/>
          <w:szCs w:val="28"/>
        </w:rPr>
        <w:t>овалось</w:t>
      </w:r>
      <w:r w:rsidRPr="00B326BE">
        <w:rPr>
          <w:color w:val="000000"/>
          <w:szCs w:val="28"/>
        </w:rPr>
        <w:t xml:space="preserve"> получить за счет комплекса мероприятий по </w:t>
      </w:r>
      <w:r w:rsidR="00B326BE" w:rsidRPr="00B326BE">
        <w:rPr>
          <w:color w:val="000000"/>
          <w:szCs w:val="28"/>
        </w:rPr>
        <w:t xml:space="preserve">передаче непрофильных функций муниципальных </w:t>
      </w:r>
      <w:proofErr w:type="gramStart"/>
      <w:r w:rsidR="00B326BE" w:rsidRPr="00B326BE">
        <w:rPr>
          <w:color w:val="000000"/>
          <w:szCs w:val="28"/>
        </w:rPr>
        <w:t>учреждений  образования</w:t>
      </w:r>
      <w:proofErr w:type="gramEnd"/>
      <w:r w:rsidR="00B326BE" w:rsidRPr="00B326BE">
        <w:rPr>
          <w:color w:val="000000"/>
          <w:szCs w:val="28"/>
        </w:rPr>
        <w:t>, культуры, спорта и молодежной политики на аутсорсинг и</w:t>
      </w:r>
      <w:r w:rsidRPr="00B326BE">
        <w:rPr>
          <w:color w:val="000000"/>
          <w:szCs w:val="28"/>
        </w:rPr>
        <w:t xml:space="preserve"> управлению имуществом.</w:t>
      </w:r>
    </w:p>
    <w:p w:rsidR="00224D4F" w:rsidRPr="00B326BE" w:rsidRDefault="00224D4F" w:rsidP="00F53C8F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326BE">
        <w:rPr>
          <w:color w:val="000000"/>
          <w:sz w:val="28"/>
          <w:szCs w:val="28"/>
        </w:rPr>
        <w:t xml:space="preserve">Часть </w:t>
      </w:r>
      <w:proofErr w:type="gramStart"/>
      <w:r w:rsidRPr="00B326BE">
        <w:rPr>
          <w:color w:val="000000"/>
          <w:sz w:val="28"/>
          <w:szCs w:val="28"/>
        </w:rPr>
        <w:t>мероприятий  выполнена</w:t>
      </w:r>
      <w:proofErr w:type="gramEnd"/>
      <w:r w:rsidRPr="00B326BE">
        <w:rPr>
          <w:color w:val="000000"/>
          <w:sz w:val="28"/>
          <w:szCs w:val="28"/>
        </w:rPr>
        <w:t xml:space="preserve"> и перевыполнена, в том числе:</w:t>
      </w:r>
    </w:p>
    <w:p w:rsidR="00224D4F" w:rsidRPr="00B326BE" w:rsidRDefault="00224D4F" w:rsidP="00AA4F26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Мероприятия по оптимизации органов местного самоуправления (план </w:t>
      </w:r>
      <w:r w:rsidR="00AA4F26" w:rsidRPr="00B326BE">
        <w:rPr>
          <w:color w:val="000000"/>
          <w:szCs w:val="28"/>
        </w:rPr>
        <w:t>548,0</w:t>
      </w:r>
      <w:r w:rsidRPr="00B326BE">
        <w:rPr>
          <w:color w:val="000000"/>
          <w:szCs w:val="28"/>
        </w:rPr>
        <w:t xml:space="preserve"> тыс. рублей, достигнутый экономический эффект – </w:t>
      </w:r>
      <w:r w:rsidR="00AA4F26" w:rsidRPr="00B326BE">
        <w:rPr>
          <w:color w:val="000000"/>
          <w:szCs w:val="28"/>
        </w:rPr>
        <w:t>1 254,8</w:t>
      </w:r>
      <w:r w:rsidRPr="00B326BE">
        <w:rPr>
          <w:szCs w:val="28"/>
        </w:rPr>
        <w:t xml:space="preserve"> тыс. рублей, или </w:t>
      </w:r>
      <w:r w:rsidR="00AA4F26" w:rsidRPr="00B326BE">
        <w:rPr>
          <w:szCs w:val="28"/>
        </w:rPr>
        <w:t>229,0</w:t>
      </w:r>
      <w:r w:rsidRPr="00B326BE">
        <w:rPr>
          <w:szCs w:val="28"/>
        </w:rPr>
        <w:t xml:space="preserve"> %) за счет</w:t>
      </w:r>
      <w:r w:rsidRPr="00B326BE">
        <w:rPr>
          <w:color w:val="000000"/>
          <w:szCs w:val="28"/>
        </w:rPr>
        <w:t xml:space="preserve"> </w:t>
      </w:r>
      <w:r w:rsidR="005521C4" w:rsidRPr="00B326BE">
        <w:rPr>
          <w:color w:val="000000"/>
          <w:szCs w:val="28"/>
        </w:rPr>
        <w:t>установления дифференцированного подхода к снижению размера выплат стимулирующего характера муниципальным служащим и работникам учреждений</w:t>
      </w:r>
      <w:r w:rsidR="00AA4F26" w:rsidRPr="00B326BE">
        <w:rPr>
          <w:color w:val="000000"/>
          <w:szCs w:val="28"/>
        </w:rPr>
        <w:t>.</w:t>
      </w:r>
    </w:p>
    <w:p w:rsidR="00224D4F" w:rsidRPr="00B326BE" w:rsidRDefault="00224D4F" w:rsidP="006C309C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>2. Выполнение функций, работ, оказание муниципальных услуг</w:t>
      </w:r>
      <w:r w:rsidRPr="00B326BE">
        <w:t xml:space="preserve"> </w:t>
      </w:r>
      <w:r w:rsidRPr="00B326BE">
        <w:rPr>
          <w:color w:val="000000"/>
          <w:szCs w:val="28"/>
        </w:rPr>
        <w:t xml:space="preserve">(план </w:t>
      </w:r>
      <w:r w:rsidR="00AA4F26" w:rsidRPr="00B326BE">
        <w:rPr>
          <w:color w:val="000000"/>
          <w:szCs w:val="28"/>
        </w:rPr>
        <w:t>1</w:t>
      </w:r>
      <w:r w:rsidR="00FC1768">
        <w:rPr>
          <w:color w:val="000000"/>
          <w:szCs w:val="28"/>
        </w:rPr>
        <w:t>3 887,8</w:t>
      </w:r>
      <w:r w:rsidRPr="00B326BE">
        <w:rPr>
          <w:color w:val="000000"/>
          <w:szCs w:val="28"/>
        </w:rPr>
        <w:t xml:space="preserve"> тыс. рублей, достигнутый экономический эффект – </w:t>
      </w:r>
      <w:r w:rsidR="00FC1768">
        <w:rPr>
          <w:color w:val="000000"/>
          <w:szCs w:val="28"/>
        </w:rPr>
        <w:t>31 696,4</w:t>
      </w:r>
      <w:r w:rsidRPr="00B326BE">
        <w:rPr>
          <w:color w:val="000000"/>
          <w:szCs w:val="28"/>
        </w:rPr>
        <w:t xml:space="preserve"> тыс. рублей или </w:t>
      </w:r>
      <w:r w:rsidR="00FC1768">
        <w:rPr>
          <w:color w:val="000000"/>
          <w:szCs w:val="28"/>
        </w:rPr>
        <w:t>228,2</w:t>
      </w:r>
      <w:r w:rsidRPr="00B326BE">
        <w:rPr>
          <w:color w:val="000000"/>
          <w:szCs w:val="28"/>
        </w:rPr>
        <w:t xml:space="preserve"> %) из них за счет:</w:t>
      </w:r>
    </w:p>
    <w:p w:rsidR="00224D4F" w:rsidRPr="00B326BE" w:rsidRDefault="00224D4F" w:rsidP="00711967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а) передачи непрофильных функций муниципальных </w:t>
      </w:r>
      <w:proofErr w:type="gramStart"/>
      <w:r w:rsidRPr="00B326BE">
        <w:rPr>
          <w:color w:val="000000"/>
          <w:szCs w:val="28"/>
        </w:rPr>
        <w:t xml:space="preserve">учреждений  </w:t>
      </w:r>
      <w:r w:rsidR="001854A6" w:rsidRPr="00B326BE">
        <w:rPr>
          <w:color w:val="000000"/>
          <w:szCs w:val="28"/>
        </w:rPr>
        <w:t>о</w:t>
      </w:r>
      <w:r w:rsidRPr="00B326BE">
        <w:rPr>
          <w:color w:val="000000"/>
          <w:szCs w:val="28"/>
        </w:rPr>
        <w:t>бразования</w:t>
      </w:r>
      <w:proofErr w:type="gramEnd"/>
      <w:r w:rsidR="001854A6" w:rsidRPr="00B326BE">
        <w:rPr>
          <w:color w:val="000000"/>
          <w:szCs w:val="28"/>
        </w:rPr>
        <w:t>, культуры, спорта и молодежной политики</w:t>
      </w:r>
      <w:r w:rsidRPr="00B326BE">
        <w:rPr>
          <w:color w:val="000000"/>
          <w:szCs w:val="28"/>
        </w:rPr>
        <w:t xml:space="preserve"> по уборке помещений, охране и содержанию зданий</w:t>
      </w:r>
      <w:r w:rsidR="001854A6" w:rsidRPr="00B326BE">
        <w:rPr>
          <w:color w:val="000000"/>
          <w:szCs w:val="28"/>
        </w:rPr>
        <w:t>, организации питания, стирке белья</w:t>
      </w:r>
      <w:r w:rsidRPr="00B326BE">
        <w:rPr>
          <w:color w:val="000000"/>
          <w:szCs w:val="28"/>
        </w:rPr>
        <w:t xml:space="preserve"> на аутсорсинг в сумме </w:t>
      </w:r>
      <w:r w:rsidR="00FC1768">
        <w:rPr>
          <w:color w:val="000000"/>
          <w:szCs w:val="28"/>
        </w:rPr>
        <w:t>5 012,3</w:t>
      </w:r>
      <w:r w:rsidRPr="00B326BE">
        <w:rPr>
          <w:color w:val="000000"/>
          <w:szCs w:val="28"/>
        </w:rPr>
        <w:t xml:space="preserve"> тыс. рублей;</w:t>
      </w:r>
    </w:p>
    <w:p w:rsidR="00224D4F" w:rsidRPr="00B326BE" w:rsidRDefault="00224D4F" w:rsidP="00711967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б) приведения категории льготников по обеспечению питанием в сфере образования в соответствие с категориями, установленными Федеральным законом № 273-ФЗ «Об образовании в Российской Федерации» в сумме </w:t>
      </w:r>
      <w:r w:rsidR="001854A6" w:rsidRPr="00B326BE">
        <w:rPr>
          <w:color w:val="000000"/>
          <w:szCs w:val="28"/>
        </w:rPr>
        <w:t>5 924,9</w:t>
      </w:r>
      <w:r w:rsidRPr="00B326BE">
        <w:rPr>
          <w:color w:val="000000"/>
          <w:szCs w:val="28"/>
        </w:rPr>
        <w:t xml:space="preserve"> тыс. рублей;</w:t>
      </w:r>
    </w:p>
    <w:p w:rsidR="00224D4F" w:rsidRPr="00B326BE" w:rsidRDefault="00224D4F" w:rsidP="00711967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в) оптимизации бюджетных расходов МБУ «Информационно-консультационный центр» на выполнение муниципального задания (сокращение бюджетных расходов путем планомерного замещения внебюджетными источниками) на сумму </w:t>
      </w:r>
      <w:r w:rsidR="001854A6" w:rsidRPr="00B326BE">
        <w:rPr>
          <w:color w:val="000000"/>
          <w:szCs w:val="28"/>
        </w:rPr>
        <w:t>293,5</w:t>
      </w:r>
      <w:r w:rsidRPr="00B326BE">
        <w:rPr>
          <w:color w:val="000000"/>
          <w:szCs w:val="28"/>
        </w:rPr>
        <w:t xml:space="preserve"> тыс. рублей.</w:t>
      </w:r>
    </w:p>
    <w:p w:rsidR="00224D4F" w:rsidRPr="00B326BE" w:rsidRDefault="00224D4F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3. Управление подведомственной сетью муниципальных учреждений (план </w:t>
      </w:r>
      <w:r w:rsidR="001854A6" w:rsidRPr="00B326BE">
        <w:rPr>
          <w:color w:val="000000"/>
          <w:szCs w:val="28"/>
        </w:rPr>
        <w:t>245,8</w:t>
      </w:r>
      <w:r w:rsidRPr="00B326BE">
        <w:rPr>
          <w:color w:val="000000"/>
          <w:szCs w:val="28"/>
        </w:rPr>
        <w:t xml:space="preserve"> тыс. рублей, достигнутый экономический эффект – </w:t>
      </w:r>
      <w:r w:rsidR="005521C4" w:rsidRPr="00B326BE">
        <w:rPr>
          <w:color w:val="000000"/>
          <w:szCs w:val="28"/>
        </w:rPr>
        <w:t>2</w:t>
      </w:r>
      <w:r w:rsidR="001854A6" w:rsidRPr="00B326BE">
        <w:rPr>
          <w:color w:val="000000"/>
          <w:szCs w:val="28"/>
        </w:rPr>
        <w:t>45,8</w:t>
      </w:r>
      <w:r w:rsidRPr="00B326BE">
        <w:rPr>
          <w:color w:val="000000"/>
          <w:szCs w:val="28"/>
        </w:rPr>
        <w:t xml:space="preserve"> тыс. рублей или 1</w:t>
      </w:r>
      <w:r w:rsidR="005521C4" w:rsidRPr="00B326BE">
        <w:rPr>
          <w:color w:val="000000"/>
          <w:szCs w:val="28"/>
        </w:rPr>
        <w:t>0</w:t>
      </w:r>
      <w:r w:rsidR="001854A6" w:rsidRPr="00B326BE">
        <w:rPr>
          <w:color w:val="000000"/>
          <w:szCs w:val="28"/>
        </w:rPr>
        <w:t>0,0</w:t>
      </w:r>
      <w:r w:rsidRPr="00B326BE">
        <w:rPr>
          <w:color w:val="000000"/>
          <w:szCs w:val="28"/>
        </w:rPr>
        <w:t xml:space="preserve"> %) за счет</w:t>
      </w:r>
      <w:r w:rsidR="001854A6" w:rsidRPr="00B326BE">
        <w:rPr>
          <w:color w:val="000000"/>
          <w:szCs w:val="28"/>
        </w:rPr>
        <w:t xml:space="preserve"> временного приостановления деятельности двух начальных школ</w:t>
      </w:r>
      <w:r w:rsidRPr="00B326BE">
        <w:rPr>
          <w:color w:val="000000"/>
          <w:szCs w:val="28"/>
        </w:rPr>
        <w:t>.</w:t>
      </w:r>
    </w:p>
    <w:p w:rsidR="00224D4F" w:rsidRPr="00B326BE" w:rsidRDefault="00224D4F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4. Развитие инфраструктуры, управление имуществом, в том числе имуществом подведомственных учреждений (план </w:t>
      </w:r>
      <w:r w:rsidR="00FC1768">
        <w:rPr>
          <w:color w:val="000000"/>
          <w:szCs w:val="28"/>
        </w:rPr>
        <w:t>2 160,0</w:t>
      </w:r>
      <w:r w:rsidRPr="00B326BE">
        <w:rPr>
          <w:color w:val="000000"/>
          <w:szCs w:val="28"/>
        </w:rPr>
        <w:t xml:space="preserve"> тыс. рублей, достигнутый экономический эффект </w:t>
      </w:r>
      <w:r w:rsidR="00FC1768">
        <w:rPr>
          <w:color w:val="000000"/>
          <w:szCs w:val="28"/>
        </w:rPr>
        <w:t>2 627,8</w:t>
      </w:r>
      <w:r w:rsidRPr="00B326BE">
        <w:rPr>
          <w:color w:val="000000"/>
          <w:szCs w:val="28"/>
        </w:rPr>
        <w:t xml:space="preserve"> тыс. рублей, или </w:t>
      </w:r>
      <w:r w:rsidR="00B326BE" w:rsidRPr="00B326BE">
        <w:rPr>
          <w:color w:val="000000"/>
          <w:szCs w:val="28"/>
        </w:rPr>
        <w:t>1</w:t>
      </w:r>
      <w:r w:rsidR="00FC1768">
        <w:rPr>
          <w:color w:val="000000"/>
          <w:szCs w:val="28"/>
        </w:rPr>
        <w:t>21,7</w:t>
      </w:r>
      <w:r w:rsidR="00B326BE" w:rsidRPr="00B326BE">
        <w:rPr>
          <w:color w:val="000000"/>
          <w:szCs w:val="28"/>
        </w:rPr>
        <w:t xml:space="preserve"> %</w:t>
      </w:r>
      <w:r w:rsidRPr="00B326BE">
        <w:rPr>
          <w:color w:val="000000"/>
          <w:szCs w:val="28"/>
        </w:rPr>
        <w:t>), из них только за счет:</w:t>
      </w:r>
    </w:p>
    <w:p w:rsidR="00B326BE" w:rsidRPr="00B326BE" w:rsidRDefault="00224D4F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- проведения работ по снижению стоимости работ на 1 км дорог – </w:t>
      </w:r>
      <w:r w:rsidR="00FC1768">
        <w:rPr>
          <w:color w:val="000000"/>
          <w:szCs w:val="28"/>
        </w:rPr>
        <w:t>2 440,6</w:t>
      </w:r>
      <w:r w:rsidRPr="00B326BE">
        <w:rPr>
          <w:color w:val="000000"/>
          <w:szCs w:val="28"/>
        </w:rPr>
        <w:t xml:space="preserve"> тыс. рублей</w:t>
      </w:r>
      <w:r w:rsidR="00B326BE" w:rsidRPr="00B326BE">
        <w:rPr>
          <w:color w:val="000000"/>
          <w:szCs w:val="28"/>
        </w:rPr>
        <w:t>;</w:t>
      </w:r>
    </w:p>
    <w:p w:rsidR="00224D4F" w:rsidRPr="00B326BE" w:rsidRDefault="00B326BE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>- проведения работ по оформлению дорог в муниципальную собственность – 187,</w:t>
      </w:r>
      <w:r w:rsidR="00FC1768">
        <w:rPr>
          <w:color w:val="000000"/>
          <w:szCs w:val="28"/>
        </w:rPr>
        <w:t>2</w:t>
      </w:r>
      <w:bookmarkStart w:id="0" w:name="_GoBack"/>
      <w:bookmarkEnd w:id="0"/>
      <w:r w:rsidRPr="00B326BE">
        <w:rPr>
          <w:color w:val="000000"/>
          <w:szCs w:val="28"/>
        </w:rPr>
        <w:t xml:space="preserve"> тыс. рублей.</w:t>
      </w:r>
    </w:p>
    <w:p w:rsidR="00224D4F" w:rsidRPr="00B326BE" w:rsidRDefault="00224D4F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326BE">
        <w:rPr>
          <w:color w:val="000000"/>
          <w:szCs w:val="28"/>
        </w:rPr>
        <w:t xml:space="preserve">6. Социальные выплаты населению (план </w:t>
      </w:r>
      <w:r w:rsidR="00B326BE" w:rsidRPr="00B326BE">
        <w:rPr>
          <w:color w:val="000000"/>
          <w:szCs w:val="28"/>
        </w:rPr>
        <w:t>100,0</w:t>
      </w:r>
      <w:r w:rsidRPr="00B326BE">
        <w:rPr>
          <w:color w:val="000000"/>
          <w:szCs w:val="28"/>
        </w:rPr>
        <w:t xml:space="preserve"> тыс. рублей, достигнутый </w:t>
      </w:r>
      <w:r w:rsidRPr="00B326BE">
        <w:rPr>
          <w:color w:val="000000"/>
          <w:szCs w:val="28"/>
        </w:rPr>
        <w:lastRenderedPageBreak/>
        <w:t xml:space="preserve">экономический эффект </w:t>
      </w:r>
      <w:r w:rsidR="00B326BE" w:rsidRPr="00B326BE">
        <w:rPr>
          <w:color w:val="000000"/>
          <w:szCs w:val="28"/>
        </w:rPr>
        <w:t>100,0</w:t>
      </w:r>
      <w:r w:rsidRPr="00B326BE">
        <w:rPr>
          <w:color w:val="000000"/>
          <w:szCs w:val="28"/>
        </w:rPr>
        <w:t xml:space="preserve"> тыс. рублей, или 1</w:t>
      </w:r>
      <w:r w:rsidR="00B326BE" w:rsidRPr="00B326BE">
        <w:rPr>
          <w:color w:val="000000"/>
          <w:szCs w:val="28"/>
        </w:rPr>
        <w:t>00,0</w:t>
      </w:r>
      <w:r w:rsidRPr="00B326BE">
        <w:rPr>
          <w:color w:val="000000"/>
          <w:szCs w:val="28"/>
        </w:rPr>
        <w:t xml:space="preserve"> %) за счет оптимизации и проведения инвентаризации муниципальных социальных выплат</w:t>
      </w:r>
      <w:r w:rsidR="00B326BE" w:rsidRPr="00B326BE">
        <w:rPr>
          <w:color w:val="000000"/>
          <w:szCs w:val="28"/>
        </w:rPr>
        <w:t>.</w:t>
      </w:r>
    </w:p>
    <w:p w:rsidR="00224D4F" w:rsidRPr="00B326BE" w:rsidRDefault="00224D4F" w:rsidP="009F051A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26BE">
        <w:rPr>
          <w:color w:val="000000"/>
          <w:sz w:val="28"/>
          <w:szCs w:val="28"/>
        </w:rPr>
        <w:t>Заместитель главы Администрации-</w:t>
      </w: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26BE">
        <w:rPr>
          <w:color w:val="000000"/>
          <w:sz w:val="28"/>
          <w:szCs w:val="28"/>
        </w:rPr>
        <w:t>начальник финансового управления</w:t>
      </w:r>
      <w:r w:rsidRPr="00B326BE">
        <w:rPr>
          <w:color w:val="000000"/>
          <w:sz w:val="28"/>
          <w:szCs w:val="28"/>
        </w:rPr>
        <w:tab/>
      </w:r>
      <w:r w:rsidRPr="00B326BE">
        <w:rPr>
          <w:color w:val="000000"/>
          <w:sz w:val="28"/>
          <w:szCs w:val="28"/>
        </w:rPr>
        <w:tab/>
        <w:t xml:space="preserve">                   </w:t>
      </w:r>
      <w:r w:rsidRPr="00B326BE">
        <w:rPr>
          <w:color w:val="000000"/>
          <w:sz w:val="28"/>
          <w:szCs w:val="28"/>
        </w:rPr>
        <w:tab/>
        <w:t>Г.Н. Гончаренко</w:t>
      </w: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26BE" w:rsidRPr="00B326BE" w:rsidRDefault="00B326BE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4D4F" w:rsidRPr="00B326BE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326BE">
        <w:rPr>
          <w:color w:val="000000"/>
          <w:sz w:val="20"/>
          <w:szCs w:val="20"/>
        </w:rPr>
        <w:t>Исп.: Г.Ф. Тагирова</w:t>
      </w:r>
      <w:r w:rsidR="005521C4" w:rsidRPr="00B326BE">
        <w:rPr>
          <w:color w:val="000000"/>
          <w:sz w:val="20"/>
          <w:szCs w:val="20"/>
        </w:rPr>
        <w:t>, О.В. Губайдуллина</w:t>
      </w:r>
    </w:p>
    <w:p w:rsidR="00224D4F" w:rsidRPr="00711967" w:rsidRDefault="00224D4F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326BE">
        <w:rPr>
          <w:color w:val="000000"/>
          <w:sz w:val="20"/>
          <w:szCs w:val="20"/>
        </w:rPr>
        <w:t xml:space="preserve">   (34764) 3-52-23</w:t>
      </w:r>
      <w:r w:rsidR="005521C4" w:rsidRPr="00B326BE">
        <w:rPr>
          <w:color w:val="000000"/>
          <w:sz w:val="20"/>
          <w:szCs w:val="20"/>
        </w:rPr>
        <w:t>, 3-50-29</w:t>
      </w:r>
    </w:p>
    <w:sectPr w:rsidR="00224D4F" w:rsidRPr="00711967" w:rsidSect="008332E1">
      <w:headerReference w:type="default" r:id="rId7"/>
      <w:pgSz w:w="11906" w:h="16838"/>
      <w:pgMar w:top="567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AB" w:rsidRDefault="00E059AB" w:rsidP="002B672F">
      <w:r>
        <w:separator/>
      </w:r>
    </w:p>
  </w:endnote>
  <w:endnote w:type="continuationSeparator" w:id="0">
    <w:p w:rsidR="00E059AB" w:rsidRDefault="00E059AB" w:rsidP="002B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AB" w:rsidRDefault="00E059AB" w:rsidP="002B672F">
      <w:r>
        <w:separator/>
      </w:r>
    </w:p>
  </w:footnote>
  <w:footnote w:type="continuationSeparator" w:id="0">
    <w:p w:rsidR="00E059AB" w:rsidRDefault="00E059AB" w:rsidP="002B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4F" w:rsidRDefault="00224D4F">
    <w:pPr>
      <w:pStyle w:val="a6"/>
      <w:jc w:val="center"/>
    </w:pPr>
  </w:p>
  <w:p w:rsidR="00224D4F" w:rsidRDefault="00224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242"/>
    <w:multiLevelType w:val="hybridMultilevel"/>
    <w:tmpl w:val="05EA4F30"/>
    <w:lvl w:ilvl="0" w:tplc="64D84F48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18F10D33"/>
    <w:multiLevelType w:val="hybridMultilevel"/>
    <w:tmpl w:val="9CC81248"/>
    <w:lvl w:ilvl="0" w:tplc="BB80C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1146FFCC"/>
    <w:lvl w:ilvl="0" w:tplc="C2A23E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2"/>
    <w:rsid w:val="000149CD"/>
    <w:rsid w:val="00014EF5"/>
    <w:rsid w:val="000215D4"/>
    <w:rsid w:val="000326D5"/>
    <w:rsid w:val="0003787A"/>
    <w:rsid w:val="000420E9"/>
    <w:rsid w:val="00064920"/>
    <w:rsid w:val="00071FAF"/>
    <w:rsid w:val="00074214"/>
    <w:rsid w:val="00077393"/>
    <w:rsid w:val="000868DA"/>
    <w:rsid w:val="000950A1"/>
    <w:rsid w:val="00096509"/>
    <w:rsid w:val="000969F3"/>
    <w:rsid w:val="00097F87"/>
    <w:rsid w:val="000C5DB7"/>
    <w:rsid w:val="000D726B"/>
    <w:rsid w:val="000E1A56"/>
    <w:rsid w:val="000E4B2D"/>
    <w:rsid w:val="000E50B3"/>
    <w:rsid w:val="000F182B"/>
    <w:rsid w:val="00112877"/>
    <w:rsid w:val="001138E0"/>
    <w:rsid w:val="00122713"/>
    <w:rsid w:val="001342FF"/>
    <w:rsid w:val="001641BA"/>
    <w:rsid w:val="001733E1"/>
    <w:rsid w:val="00177D7F"/>
    <w:rsid w:val="0018173E"/>
    <w:rsid w:val="00182871"/>
    <w:rsid w:val="00183E27"/>
    <w:rsid w:val="001854A6"/>
    <w:rsid w:val="001A63EE"/>
    <w:rsid w:val="001B2141"/>
    <w:rsid w:val="001C650D"/>
    <w:rsid w:val="001F6579"/>
    <w:rsid w:val="00200E22"/>
    <w:rsid w:val="00204E48"/>
    <w:rsid w:val="00211D68"/>
    <w:rsid w:val="00224D4F"/>
    <w:rsid w:val="00231B01"/>
    <w:rsid w:val="002335BF"/>
    <w:rsid w:val="00241199"/>
    <w:rsid w:val="00242F44"/>
    <w:rsid w:val="00243542"/>
    <w:rsid w:val="0025562D"/>
    <w:rsid w:val="002708D2"/>
    <w:rsid w:val="00274F52"/>
    <w:rsid w:val="00287016"/>
    <w:rsid w:val="002949B0"/>
    <w:rsid w:val="002A1983"/>
    <w:rsid w:val="002B3C06"/>
    <w:rsid w:val="002B672F"/>
    <w:rsid w:val="002D095F"/>
    <w:rsid w:val="002D0A6A"/>
    <w:rsid w:val="002F41DA"/>
    <w:rsid w:val="002F73FE"/>
    <w:rsid w:val="00300904"/>
    <w:rsid w:val="0032106C"/>
    <w:rsid w:val="00322B96"/>
    <w:rsid w:val="00335241"/>
    <w:rsid w:val="00336D9E"/>
    <w:rsid w:val="00362C85"/>
    <w:rsid w:val="00375A25"/>
    <w:rsid w:val="00381AA2"/>
    <w:rsid w:val="00385F40"/>
    <w:rsid w:val="003A15D7"/>
    <w:rsid w:val="003C4C4C"/>
    <w:rsid w:val="003E24FF"/>
    <w:rsid w:val="00412CE6"/>
    <w:rsid w:val="0042149F"/>
    <w:rsid w:val="00451A2D"/>
    <w:rsid w:val="0046052B"/>
    <w:rsid w:val="004657D3"/>
    <w:rsid w:val="00472083"/>
    <w:rsid w:val="004736F4"/>
    <w:rsid w:val="00473B36"/>
    <w:rsid w:val="004824C8"/>
    <w:rsid w:val="004829BB"/>
    <w:rsid w:val="004829FB"/>
    <w:rsid w:val="00487F22"/>
    <w:rsid w:val="004A7964"/>
    <w:rsid w:val="004B765B"/>
    <w:rsid w:val="004C5CA0"/>
    <w:rsid w:val="004D3656"/>
    <w:rsid w:val="004D64DE"/>
    <w:rsid w:val="004E5227"/>
    <w:rsid w:val="004F54A2"/>
    <w:rsid w:val="004F7E24"/>
    <w:rsid w:val="00520062"/>
    <w:rsid w:val="00527AB9"/>
    <w:rsid w:val="00537F16"/>
    <w:rsid w:val="00537F59"/>
    <w:rsid w:val="00541ED6"/>
    <w:rsid w:val="00547319"/>
    <w:rsid w:val="005521C4"/>
    <w:rsid w:val="00564882"/>
    <w:rsid w:val="005811C9"/>
    <w:rsid w:val="00590A56"/>
    <w:rsid w:val="00597BBA"/>
    <w:rsid w:val="005F09A9"/>
    <w:rsid w:val="005F0AA4"/>
    <w:rsid w:val="005F5BD2"/>
    <w:rsid w:val="006036D1"/>
    <w:rsid w:val="00606812"/>
    <w:rsid w:val="006070AA"/>
    <w:rsid w:val="00613058"/>
    <w:rsid w:val="00616FEB"/>
    <w:rsid w:val="00637F81"/>
    <w:rsid w:val="00644766"/>
    <w:rsid w:val="0064635C"/>
    <w:rsid w:val="006524EE"/>
    <w:rsid w:val="0065463F"/>
    <w:rsid w:val="006633E8"/>
    <w:rsid w:val="006723C4"/>
    <w:rsid w:val="00673687"/>
    <w:rsid w:val="00683B98"/>
    <w:rsid w:val="006849C7"/>
    <w:rsid w:val="006A369A"/>
    <w:rsid w:val="006B7738"/>
    <w:rsid w:val="006C309C"/>
    <w:rsid w:val="006D1002"/>
    <w:rsid w:val="006E1311"/>
    <w:rsid w:val="006F1D93"/>
    <w:rsid w:val="00706FA8"/>
    <w:rsid w:val="00707C25"/>
    <w:rsid w:val="00711967"/>
    <w:rsid w:val="00714C6E"/>
    <w:rsid w:val="00725943"/>
    <w:rsid w:val="00763803"/>
    <w:rsid w:val="00775379"/>
    <w:rsid w:val="00776A1B"/>
    <w:rsid w:val="007807B5"/>
    <w:rsid w:val="00780F02"/>
    <w:rsid w:val="007902AD"/>
    <w:rsid w:val="007D0B46"/>
    <w:rsid w:val="007D3F15"/>
    <w:rsid w:val="007F0D4E"/>
    <w:rsid w:val="007F2D9B"/>
    <w:rsid w:val="007F40B0"/>
    <w:rsid w:val="007F7A4B"/>
    <w:rsid w:val="00805B46"/>
    <w:rsid w:val="00822D13"/>
    <w:rsid w:val="0082582F"/>
    <w:rsid w:val="0082638D"/>
    <w:rsid w:val="0082721A"/>
    <w:rsid w:val="008332E1"/>
    <w:rsid w:val="00836BE9"/>
    <w:rsid w:val="00840229"/>
    <w:rsid w:val="00843213"/>
    <w:rsid w:val="00856291"/>
    <w:rsid w:val="008622C6"/>
    <w:rsid w:val="00881FF7"/>
    <w:rsid w:val="008A348E"/>
    <w:rsid w:val="008A3785"/>
    <w:rsid w:val="008A4593"/>
    <w:rsid w:val="008B28DB"/>
    <w:rsid w:val="008B5FC0"/>
    <w:rsid w:val="008D4805"/>
    <w:rsid w:val="008E3432"/>
    <w:rsid w:val="008F003A"/>
    <w:rsid w:val="008F563D"/>
    <w:rsid w:val="008F7CBB"/>
    <w:rsid w:val="00921B00"/>
    <w:rsid w:val="009314DD"/>
    <w:rsid w:val="00940195"/>
    <w:rsid w:val="00943C40"/>
    <w:rsid w:val="0095412D"/>
    <w:rsid w:val="00966DBC"/>
    <w:rsid w:val="00972583"/>
    <w:rsid w:val="009C3FA8"/>
    <w:rsid w:val="009C63C1"/>
    <w:rsid w:val="009D69A5"/>
    <w:rsid w:val="009E1DC4"/>
    <w:rsid w:val="009E5D9C"/>
    <w:rsid w:val="009F051A"/>
    <w:rsid w:val="009F2D43"/>
    <w:rsid w:val="00A05134"/>
    <w:rsid w:val="00A15647"/>
    <w:rsid w:val="00A233C3"/>
    <w:rsid w:val="00A43F79"/>
    <w:rsid w:val="00A651BE"/>
    <w:rsid w:val="00A709AA"/>
    <w:rsid w:val="00A82B19"/>
    <w:rsid w:val="00AA3023"/>
    <w:rsid w:val="00AA4F26"/>
    <w:rsid w:val="00AA7922"/>
    <w:rsid w:val="00AB0364"/>
    <w:rsid w:val="00AB4176"/>
    <w:rsid w:val="00AD4C1F"/>
    <w:rsid w:val="00AF5755"/>
    <w:rsid w:val="00B14C7C"/>
    <w:rsid w:val="00B22E8F"/>
    <w:rsid w:val="00B273CF"/>
    <w:rsid w:val="00B326BE"/>
    <w:rsid w:val="00B42C9C"/>
    <w:rsid w:val="00B62883"/>
    <w:rsid w:val="00B84D5A"/>
    <w:rsid w:val="00B92E88"/>
    <w:rsid w:val="00B960EC"/>
    <w:rsid w:val="00BA72D3"/>
    <w:rsid w:val="00BF6C33"/>
    <w:rsid w:val="00BF6FD3"/>
    <w:rsid w:val="00C06E19"/>
    <w:rsid w:val="00C1669B"/>
    <w:rsid w:val="00C170A4"/>
    <w:rsid w:val="00C214D8"/>
    <w:rsid w:val="00C2659E"/>
    <w:rsid w:val="00C34E97"/>
    <w:rsid w:val="00C543C7"/>
    <w:rsid w:val="00C6209C"/>
    <w:rsid w:val="00C7137B"/>
    <w:rsid w:val="00C73E21"/>
    <w:rsid w:val="00C754CC"/>
    <w:rsid w:val="00C772CB"/>
    <w:rsid w:val="00CB7902"/>
    <w:rsid w:val="00CC1040"/>
    <w:rsid w:val="00CC22EF"/>
    <w:rsid w:val="00D00562"/>
    <w:rsid w:val="00D03127"/>
    <w:rsid w:val="00D233B2"/>
    <w:rsid w:val="00D27C13"/>
    <w:rsid w:val="00D321F1"/>
    <w:rsid w:val="00D65ED2"/>
    <w:rsid w:val="00D83786"/>
    <w:rsid w:val="00D8747E"/>
    <w:rsid w:val="00DA5CDF"/>
    <w:rsid w:val="00DB1635"/>
    <w:rsid w:val="00DB6EEB"/>
    <w:rsid w:val="00DC6B62"/>
    <w:rsid w:val="00DE21B8"/>
    <w:rsid w:val="00DE21E6"/>
    <w:rsid w:val="00DE4E10"/>
    <w:rsid w:val="00DE6133"/>
    <w:rsid w:val="00DF6DC9"/>
    <w:rsid w:val="00E059AB"/>
    <w:rsid w:val="00E116FA"/>
    <w:rsid w:val="00E5550F"/>
    <w:rsid w:val="00E66A78"/>
    <w:rsid w:val="00E91EFC"/>
    <w:rsid w:val="00E93E8F"/>
    <w:rsid w:val="00EA4A4A"/>
    <w:rsid w:val="00EE08E0"/>
    <w:rsid w:val="00EE6778"/>
    <w:rsid w:val="00EE71CA"/>
    <w:rsid w:val="00EF6F33"/>
    <w:rsid w:val="00F15C0F"/>
    <w:rsid w:val="00F213CF"/>
    <w:rsid w:val="00F25725"/>
    <w:rsid w:val="00F408D8"/>
    <w:rsid w:val="00F4246E"/>
    <w:rsid w:val="00F53C8F"/>
    <w:rsid w:val="00F5785E"/>
    <w:rsid w:val="00F73CD2"/>
    <w:rsid w:val="00F84B46"/>
    <w:rsid w:val="00F8660C"/>
    <w:rsid w:val="00F94CF7"/>
    <w:rsid w:val="00FC1768"/>
    <w:rsid w:val="00FD3F8B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535E0"/>
  <w14:defaultImageDpi w14:val="0"/>
  <w15:docId w15:val="{0B550903-610F-4BC0-936B-EF0AB36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43542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241199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41199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B672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B672F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"/>
    <w:link w:val="a9"/>
    <w:uiPriority w:val="99"/>
    <w:rsid w:val="002B672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2B672F"/>
    <w:rPr>
      <w:rFonts w:ascii="Times New Roman" w:hAnsi="Times New Roman"/>
      <w:sz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FF6029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F6029"/>
    <w:rPr>
      <w:rFonts w:ascii="Times New Roman" w:hAnsi="Times New Roman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211D68"/>
    <w:pPr>
      <w:spacing w:after="200" w:line="276" w:lineRule="auto"/>
      <w:ind w:left="720"/>
      <w:contextualSpacing/>
    </w:pPr>
    <w:rPr>
      <w:rFonts w:eastAsia="Calibri"/>
      <w:sz w:val="28"/>
      <w:szCs w:val="32"/>
      <w:lang w:eastAsia="en-US"/>
    </w:rPr>
  </w:style>
  <w:style w:type="table" w:styleId="ab">
    <w:name w:val="Table Grid"/>
    <w:basedOn w:val="a1"/>
    <w:uiPriority w:val="99"/>
    <w:rsid w:val="0021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EE71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</dc:creator>
  <cp:keywords/>
  <dc:description/>
  <cp:lastModifiedBy>Тагирова Гузель</cp:lastModifiedBy>
  <cp:revision>3</cp:revision>
  <cp:lastPrinted>2018-04-02T09:54:00Z</cp:lastPrinted>
  <dcterms:created xsi:type="dcterms:W3CDTF">2018-04-02T09:55:00Z</dcterms:created>
  <dcterms:modified xsi:type="dcterms:W3CDTF">2018-04-02T10:00:00Z</dcterms:modified>
</cp:coreProperties>
</file>