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E0" w:rsidRPr="00B326BE" w:rsidRDefault="009801E0" w:rsidP="00097F87">
      <w:pPr>
        <w:ind w:firstLine="709"/>
        <w:jc w:val="center"/>
        <w:rPr>
          <w:b/>
          <w:color w:val="000000"/>
          <w:sz w:val="28"/>
          <w:szCs w:val="28"/>
        </w:rPr>
      </w:pPr>
      <w:r w:rsidRPr="00B326BE">
        <w:rPr>
          <w:b/>
          <w:color w:val="000000"/>
          <w:sz w:val="28"/>
          <w:szCs w:val="28"/>
        </w:rPr>
        <w:t xml:space="preserve">Информация по исполнению мероприятий «дорожной карты» по муниципальному району </w:t>
      </w:r>
      <w:proofErr w:type="spellStart"/>
      <w:r w:rsidRPr="00B326BE">
        <w:rPr>
          <w:b/>
          <w:color w:val="000000"/>
          <w:sz w:val="28"/>
          <w:szCs w:val="28"/>
        </w:rPr>
        <w:t>Мелеузовский</w:t>
      </w:r>
      <w:proofErr w:type="spellEnd"/>
      <w:r w:rsidRPr="00B326BE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801E0" w:rsidRPr="00B326BE" w:rsidRDefault="009801E0" w:rsidP="00077393">
      <w:pPr>
        <w:ind w:firstLine="709"/>
        <w:jc w:val="both"/>
        <w:rPr>
          <w:color w:val="000000"/>
          <w:sz w:val="28"/>
          <w:szCs w:val="28"/>
        </w:rPr>
      </w:pPr>
    </w:p>
    <w:p w:rsidR="00C2133A" w:rsidRPr="00C2133A" w:rsidRDefault="00C2133A" w:rsidP="00C2133A">
      <w:pPr>
        <w:ind w:firstLine="720"/>
        <w:jc w:val="both"/>
        <w:rPr>
          <w:sz w:val="28"/>
          <w:szCs w:val="28"/>
        </w:rPr>
      </w:pPr>
      <w:r w:rsidRPr="00C2133A">
        <w:rPr>
          <w:sz w:val="28"/>
          <w:szCs w:val="28"/>
        </w:rPr>
        <w:t>Общий экономический эффект от реализации мероприятий «дорожной карты» на 2018 год запланирован в сумме 88,4 тыс. рублей, в том числе: 68,4 млн. рублей – привлечение дополнительных доходов в бюджет муниципального района, 20,0 млн. рублей – эффект от реализации мероприятий, носящих оптимизационный характер.</w:t>
      </w:r>
    </w:p>
    <w:p w:rsidR="00C2133A" w:rsidRPr="00C2133A" w:rsidRDefault="00C2133A" w:rsidP="00C2133A">
      <w:pPr>
        <w:ind w:firstLine="720"/>
        <w:jc w:val="both"/>
        <w:rPr>
          <w:sz w:val="28"/>
          <w:szCs w:val="28"/>
        </w:rPr>
      </w:pPr>
      <w:r w:rsidRPr="00C2133A">
        <w:rPr>
          <w:sz w:val="28"/>
          <w:szCs w:val="28"/>
        </w:rPr>
        <w:t>По итогам 2018 года «дорожная карта» исполнена на 139,4 % (123,2 млн. рублей) от утвержденного годового плана, в том числе мероприятиям, направленным на рост доходов бюджета муниципального района – 111,8 % (76,4 млн. рублей) и по мероприятиям, носящим оптимизационный характер, - 233,7 % (46,8 млн. рублей).</w:t>
      </w:r>
    </w:p>
    <w:p w:rsidR="009801E0" w:rsidRPr="004C39FA" w:rsidRDefault="009801E0" w:rsidP="00287016">
      <w:pPr>
        <w:widowControl w:val="0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9801E0" w:rsidRPr="00C2133A" w:rsidRDefault="009801E0" w:rsidP="005F09A9">
      <w:pPr>
        <w:widowControl w:val="0"/>
        <w:jc w:val="center"/>
        <w:rPr>
          <w:b/>
          <w:color w:val="000000"/>
          <w:sz w:val="28"/>
          <w:szCs w:val="28"/>
        </w:rPr>
      </w:pPr>
      <w:r w:rsidRPr="00C2133A">
        <w:rPr>
          <w:b/>
          <w:color w:val="000000"/>
          <w:sz w:val="28"/>
          <w:szCs w:val="28"/>
        </w:rPr>
        <w:t>По доходам:</w:t>
      </w:r>
    </w:p>
    <w:p w:rsidR="009801E0" w:rsidRPr="004C39FA" w:rsidRDefault="009801E0" w:rsidP="005F09A9">
      <w:pPr>
        <w:widowControl w:val="0"/>
        <w:jc w:val="center"/>
        <w:rPr>
          <w:b/>
          <w:color w:val="000000"/>
          <w:sz w:val="28"/>
          <w:szCs w:val="28"/>
          <w:highlight w:val="yellow"/>
        </w:rPr>
      </w:pPr>
    </w:p>
    <w:p w:rsidR="009801E0" w:rsidRPr="004C39FA" w:rsidRDefault="009801E0" w:rsidP="00BF6C33">
      <w:pPr>
        <w:ind w:firstLine="720"/>
        <w:jc w:val="both"/>
        <w:rPr>
          <w:sz w:val="28"/>
          <w:szCs w:val="28"/>
        </w:rPr>
      </w:pPr>
      <w:r w:rsidRPr="004C39FA">
        <w:rPr>
          <w:sz w:val="28"/>
          <w:szCs w:val="28"/>
        </w:rPr>
        <w:t xml:space="preserve">Основной рост доходной части бюджета муниципального района </w:t>
      </w:r>
      <w:proofErr w:type="spellStart"/>
      <w:r w:rsidRPr="004C39FA">
        <w:rPr>
          <w:sz w:val="28"/>
          <w:szCs w:val="28"/>
        </w:rPr>
        <w:t>Мелеузовский</w:t>
      </w:r>
      <w:proofErr w:type="spellEnd"/>
      <w:r w:rsidRPr="004C39FA">
        <w:rPr>
          <w:sz w:val="28"/>
          <w:szCs w:val="28"/>
        </w:rPr>
        <w:t xml:space="preserve"> район Республики Башкортостан в 2018 году планировалось получить за счет реализации комплекса мероприятий по активизации работы комиссии по легализации объектов налогообложения и проведения оценки эффективности налоговых льгот и ставок налогов по местным налогам. Ожидаемая сумма экономического эффекта по разделам «Повышение доходного потенциала муниципального района» и «Развитие предпринимательства» на 2018 год составляла 68,2 млн. руб. </w:t>
      </w:r>
    </w:p>
    <w:p w:rsidR="009801E0" w:rsidRPr="004C39FA" w:rsidRDefault="009801E0" w:rsidP="00BF6C33">
      <w:pPr>
        <w:ind w:firstLine="720"/>
        <w:jc w:val="both"/>
        <w:rPr>
          <w:sz w:val="28"/>
          <w:szCs w:val="28"/>
          <w:highlight w:val="yellow"/>
        </w:rPr>
      </w:pPr>
      <w:r w:rsidRPr="0049399B">
        <w:rPr>
          <w:sz w:val="28"/>
          <w:szCs w:val="28"/>
        </w:rPr>
        <w:t xml:space="preserve">По состоянию на 01.01.2019г. все мероприятия актуализированной Дорожной карты, утвержденной постановлением главы администрации муниципального района </w:t>
      </w:r>
      <w:proofErr w:type="spellStart"/>
      <w:r w:rsidRPr="0049399B">
        <w:rPr>
          <w:sz w:val="28"/>
          <w:szCs w:val="28"/>
        </w:rPr>
        <w:t>Мелеузовский</w:t>
      </w:r>
      <w:proofErr w:type="spellEnd"/>
      <w:r w:rsidRPr="0049399B">
        <w:rPr>
          <w:sz w:val="28"/>
          <w:szCs w:val="28"/>
        </w:rPr>
        <w:t xml:space="preserve"> район Республики Башкортостан от </w:t>
      </w:r>
      <w:r w:rsidRPr="005E68CB">
        <w:rPr>
          <w:sz w:val="28"/>
          <w:szCs w:val="28"/>
        </w:rPr>
        <w:t xml:space="preserve">29.12.2017 г. № </w:t>
      </w:r>
      <w:proofErr w:type="gramStart"/>
      <w:r w:rsidRPr="005E68CB">
        <w:rPr>
          <w:sz w:val="28"/>
          <w:szCs w:val="28"/>
        </w:rPr>
        <w:t xml:space="preserve">2325  </w:t>
      </w:r>
      <w:r w:rsidRPr="0049399B">
        <w:rPr>
          <w:sz w:val="28"/>
          <w:szCs w:val="28"/>
        </w:rPr>
        <w:t>в</w:t>
      </w:r>
      <w:proofErr w:type="gramEnd"/>
      <w:r w:rsidRPr="0049399B">
        <w:rPr>
          <w:sz w:val="28"/>
          <w:szCs w:val="28"/>
        </w:rPr>
        <w:t xml:space="preserve"> целом выполнены,  за исключением отдельных подпунктов плана, в том числе:</w:t>
      </w:r>
    </w:p>
    <w:p w:rsidR="009801E0" w:rsidRPr="0049399B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9399B">
        <w:rPr>
          <w:sz w:val="28"/>
          <w:szCs w:val="28"/>
        </w:rPr>
        <w:t xml:space="preserve">Мероприятия по организации мониторинга поступлений налоговых и неналоговых доходов (план 11000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>., достигнутый экономический эффект – 11141,2 тыс. рублей, или на 1,2% больше, чем планировалось в 2018 году), в т.ч.</w:t>
      </w:r>
    </w:p>
    <w:p w:rsidR="009801E0" w:rsidRPr="0049399B" w:rsidRDefault="009801E0" w:rsidP="004C39FA">
      <w:pPr>
        <w:ind w:firstLine="708"/>
        <w:jc w:val="both"/>
        <w:rPr>
          <w:sz w:val="28"/>
          <w:szCs w:val="28"/>
        </w:rPr>
      </w:pPr>
      <w:r w:rsidRPr="0049399B">
        <w:rPr>
          <w:sz w:val="28"/>
          <w:szCs w:val="28"/>
        </w:rPr>
        <w:t xml:space="preserve">1) Мероприятия по обеспечению темпов роста поступлений НДФЛ темпам роста фонда заработной платы (план 3000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 xml:space="preserve">., достигнутый экономический эффект 11134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 xml:space="preserve">. или на 371,1% за счет за счет поступлений недоимки прошлых лет, в т.ч. от крупных плательщиков: МУСП </w:t>
      </w:r>
      <w:proofErr w:type="spellStart"/>
      <w:r w:rsidRPr="0049399B">
        <w:rPr>
          <w:sz w:val="28"/>
          <w:szCs w:val="28"/>
        </w:rPr>
        <w:t>Араслановский</w:t>
      </w:r>
      <w:proofErr w:type="spellEnd"/>
      <w:r w:rsidRPr="0049399B">
        <w:rPr>
          <w:sz w:val="28"/>
          <w:szCs w:val="28"/>
        </w:rPr>
        <w:t xml:space="preserve"> в сумме 5615,5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 xml:space="preserve">., ОАО </w:t>
      </w:r>
      <w:proofErr w:type="spellStart"/>
      <w:r w:rsidRPr="0049399B">
        <w:rPr>
          <w:sz w:val="28"/>
          <w:szCs w:val="28"/>
        </w:rPr>
        <w:t>Зирганская</w:t>
      </w:r>
      <w:proofErr w:type="spellEnd"/>
      <w:r w:rsidRPr="0049399B">
        <w:rPr>
          <w:sz w:val="28"/>
          <w:szCs w:val="28"/>
        </w:rPr>
        <w:t xml:space="preserve"> МТС в сумме 16592,5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 xml:space="preserve">., от МУП </w:t>
      </w:r>
      <w:proofErr w:type="spellStart"/>
      <w:r w:rsidRPr="0049399B">
        <w:rPr>
          <w:sz w:val="28"/>
          <w:szCs w:val="28"/>
        </w:rPr>
        <w:t>Дорремстрой</w:t>
      </w:r>
      <w:proofErr w:type="spellEnd"/>
      <w:r w:rsidRPr="0049399B">
        <w:rPr>
          <w:sz w:val="28"/>
          <w:szCs w:val="28"/>
        </w:rPr>
        <w:t xml:space="preserve"> в сумме 1510,7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 xml:space="preserve">.,  увеличением фонда оплаты труда, а также  отсутствия платежей по крупному предприятию ООО "БПК" (- 10392,8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>.) в связи с введением процедуры банкротства (наблюдения).</w:t>
      </w:r>
    </w:p>
    <w:p w:rsidR="009801E0" w:rsidRPr="0049399B" w:rsidRDefault="009801E0" w:rsidP="00BF6C33">
      <w:pPr>
        <w:ind w:firstLine="720"/>
        <w:jc w:val="both"/>
        <w:rPr>
          <w:sz w:val="28"/>
          <w:szCs w:val="28"/>
        </w:rPr>
      </w:pPr>
      <w:r w:rsidRPr="0049399B">
        <w:rPr>
          <w:sz w:val="28"/>
          <w:szCs w:val="28"/>
        </w:rPr>
        <w:t xml:space="preserve">2) Мероприятия по обеспечению роста поступлений налогов на совокупный доход не ниже среднего темпа роста по республике (план 3000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 xml:space="preserve">., достигнутый экономический эффект – 0 тыс. рублей) По состоянию на 01.01.2019г. темп роста налогов на совокупный доход составил 93% за счет отсутствия поступлений ЕСХН от крупного налогового агента СПК </w:t>
      </w:r>
      <w:proofErr w:type="spellStart"/>
      <w:r w:rsidRPr="0049399B">
        <w:rPr>
          <w:sz w:val="28"/>
          <w:szCs w:val="28"/>
        </w:rPr>
        <w:t>Ашкадарский</w:t>
      </w:r>
      <w:proofErr w:type="spellEnd"/>
      <w:r w:rsidRPr="0049399B">
        <w:rPr>
          <w:sz w:val="28"/>
          <w:szCs w:val="28"/>
        </w:rPr>
        <w:t xml:space="preserve"> в связи с отсутствием налогооблагаемой базы по итогам работы за 2017г., а также поступления крупной суммы недоимки в 2017г. по ОАО Мастер-А в сумме 1,9 </w:t>
      </w:r>
      <w:proofErr w:type="spellStart"/>
      <w:r w:rsidRPr="0049399B">
        <w:rPr>
          <w:sz w:val="28"/>
          <w:szCs w:val="28"/>
        </w:rPr>
        <w:lastRenderedPageBreak/>
        <w:t>млн.руб</w:t>
      </w:r>
      <w:proofErr w:type="spellEnd"/>
      <w:r w:rsidRPr="0049399B">
        <w:rPr>
          <w:sz w:val="28"/>
          <w:szCs w:val="28"/>
        </w:rPr>
        <w:t>.</w:t>
      </w:r>
      <w:r>
        <w:rPr>
          <w:sz w:val="28"/>
          <w:szCs w:val="28"/>
        </w:rPr>
        <w:t>, ООО</w:t>
      </w:r>
      <w:r w:rsidRPr="0049399B">
        <w:rPr>
          <w:sz w:val="28"/>
          <w:szCs w:val="28"/>
        </w:rPr>
        <w:t xml:space="preserve"> «Эрудит» </w:t>
      </w:r>
      <w:r>
        <w:rPr>
          <w:sz w:val="28"/>
          <w:szCs w:val="28"/>
        </w:rPr>
        <w:t xml:space="preserve">- </w:t>
      </w:r>
      <w:r w:rsidRPr="0049399B">
        <w:rPr>
          <w:sz w:val="28"/>
          <w:szCs w:val="28"/>
        </w:rPr>
        <w:t xml:space="preserve">1,5 </w:t>
      </w:r>
      <w:proofErr w:type="spellStart"/>
      <w:r w:rsidRPr="0049399B">
        <w:rPr>
          <w:sz w:val="28"/>
          <w:szCs w:val="28"/>
        </w:rPr>
        <w:t>млн.руб</w:t>
      </w:r>
      <w:proofErr w:type="spellEnd"/>
      <w:r w:rsidRPr="0049399B">
        <w:rPr>
          <w:sz w:val="28"/>
          <w:szCs w:val="28"/>
        </w:rPr>
        <w:t xml:space="preserve">., ООО Стройматериалы-Мелеуз </w:t>
      </w:r>
      <w:r>
        <w:rPr>
          <w:sz w:val="28"/>
          <w:szCs w:val="28"/>
        </w:rPr>
        <w:t xml:space="preserve">- </w:t>
      </w:r>
      <w:r w:rsidRPr="0049399B">
        <w:rPr>
          <w:sz w:val="28"/>
          <w:szCs w:val="28"/>
        </w:rPr>
        <w:t xml:space="preserve">0,7 </w:t>
      </w:r>
      <w:proofErr w:type="spellStart"/>
      <w:r w:rsidRPr="0049399B">
        <w:rPr>
          <w:sz w:val="28"/>
          <w:szCs w:val="28"/>
        </w:rPr>
        <w:t>млн.руб</w:t>
      </w:r>
      <w:proofErr w:type="spellEnd"/>
      <w:r w:rsidRPr="0049399B">
        <w:rPr>
          <w:sz w:val="28"/>
          <w:szCs w:val="28"/>
        </w:rPr>
        <w:t xml:space="preserve">., ООО СК </w:t>
      </w:r>
      <w:proofErr w:type="spellStart"/>
      <w:r w:rsidRPr="0049399B">
        <w:rPr>
          <w:sz w:val="28"/>
          <w:szCs w:val="28"/>
        </w:rPr>
        <w:t>Евродом</w:t>
      </w:r>
      <w:proofErr w:type="spellEnd"/>
      <w:r w:rsidRPr="0049399B">
        <w:rPr>
          <w:sz w:val="28"/>
          <w:szCs w:val="28"/>
        </w:rPr>
        <w:t xml:space="preserve"> – 0,7 </w:t>
      </w:r>
      <w:proofErr w:type="spellStart"/>
      <w:r w:rsidRPr="0049399B">
        <w:rPr>
          <w:sz w:val="28"/>
          <w:szCs w:val="28"/>
        </w:rPr>
        <w:t>млн.руб</w:t>
      </w:r>
      <w:proofErr w:type="spellEnd"/>
      <w:r w:rsidRPr="0049399B">
        <w:rPr>
          <w:sz w:val="28"/>
          <w:szCs w:val="28"/>
        </w:rPr>
        <w:t xml:space="preserve">.: </w:t>
      </w:r>
    </w:p>
    <w:p w:rsidR="009801E0" w:rsidRPr="0049399B" w:rsidRDefault="009801E0" w:rsidP="0049399B">
      <w:pPr>
        <w:ind w:firstLine="720"/>
        <w:jc w:val="both"/>
        <w:rPr>
          <w:sz w:val="28"/>
          <w:szCs w:val="28"/>
        </w:rPr>
      </w:pPr>
      <w:r w:rsidRPr="0049399B">
        <w:rPr>
          <w:sz w:val="28"/>
          <w:szCs w:val="28"/>
        </w:rPr>
        <w:t xml:space="preserve">3) Мероприятия по обеспечению темпов роста поступлений неналоговых доходов не ниже среднего темпа роста по республике (план 2000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>., за счет разовых поступлений в 2017г. по  конкурсам и  аукционам на размещение рекламных конструкций и нестационарных торговых объектов, а т</w:t>
      </w:r>
      <w:r>
        <w:rPr>
          <w:sz w:val="28"/>
          <w:szCs w:val="28"/>
        </w:rPr>
        <w:t>а</w:t>
      </w:r>
      <w:r w:rsidRPr="0049399B">
        <w:rPr>
          <w:sz w:val="28"/>
          <w:szCs w:val="28"/>
        </w:rPr>
        <w:t xml:space="preserve">кже за счет досрочного выкупа муниципального имущества в 2017г. темп роста неналоговых доходов составил 90,5% , а достигнутый экономический эффект составил 0 </w:t>
      </w:r>
      <w:proofErr w:type="spellStart"/>
      <w:r w:rsidRPr="0049399B">
        <w:rPr>
          <w:sz w:val="28"/>
          <w:szCs w:val="28"/>
        </w:rPr>
        <w:t>тыс.руб</w:t>
      </w:r>
      <w:proofErr w:type="spellEnd"/>
      <w:r w:rsidRPr="0049399B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801E0" w:rsidRPr="00CE2484" w:rsidRDefault="009801E0" w:rsidP="00CE2484">
      <w:pPr>
        <w:numPr>
          <w:ilvl w:val="1"/>
          <w:numId w:val="3"/>
        </w:numPr>
        <w:tabs>
          <w:tab w:val="clear" w:pos="1500"/>
          <w:tab w:val="num" w:pos="360"/>
        </w:tabs>
        <w:ind w:left="0" w:firstLine="1140"/>
        <w:jc w:val="both"/>
        <w:rPr>
          <w:sz w:val="28"/>
          <w:szCs w:val="28"/>
        </w:rPr>
      </w:pPr>
      <w:r w:rsidRPr="00CE2484">
        <w:rPr>
          <w:sz w:val="28"/>
          <w:szCs w:val="28"/>
        </w:rPr>
        <w:t xml:space="preserve">Мероприятия по принятию мер по расширению налогооблагаемой базы (план 600 </w:t>
      </w:r>
      <w:proofErr w:type="spellStart"/>
      <w:r w:rsidRPr="00CE2484">
        <w:rPr>
          <w:sz w:val="28"/>
          <w:szCs w:val="28"/>
        </w:rPr>
        <w:t>тыс.руб</w:t>
      </w:r>
      <w:proofErr w:type="spellEnd"/>
      <w:r w:rsidRPr="00CE2484">
        <w:rPr>
          <w:sz w:val="28"/>
          <w:szCs w:val="28"/>
        </w:rPr>
        <w:t>., достигнутый экономический эффект – 1459,9 тыс. рублей, или 243,3%) из них за счет: создания 86 новых рабочих мест по видам деятельности: строительство, деятельность спортивных объектов, организация отдыха и оздоровления, похоронная деятельность и др.</w:t>
      </w:r>
    </w:p>
    <w:p w:rsidR="009801E0" w:rsidRPr="00CE2484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E2484">
        <w:rPr>
          <w:sz w:val="28"/>
          <w:szCs w:val="28"/>
        </w:rPr>
        <w:t xml:space="preserve">Мероприятия по организации мониторинга расчетов с бюджетом крупнейших налогоплательщиков (план 1800 </w:t>
      </w:r>
      <w:proofErr w:type="spellStart"/>
      <w:r w:rsidRPr="00CE2484">
        <w:rPr>
          <w:sz w:val="28"/>
          <w:szCs w:val="28"/>
        </w:rPr>
        <w:t>тыс.руб</w:t>
      </w:r>
      <w:proofErr w:type="spellEnd"/>
      <w:r w:rsidRPr="00CE2484">
        <w:rPr>
          <w:sz w:val="28"/>
          <w:szCs w:val="28"/>
        </w:rPr>
        <w:t>., достигнутый экономический эффект – 2446,9 тыс. рублей, или 135,9%);</w:t>
      </w:r>
    </w:p>
    <w:p w:rsidR="009801E0" w:rsidRPr="00CE2484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E2484">
        <w:rPr>
          <w:sz w:val="28"/>
          <w:szCs w:val="28"/>
        </w:rPr>
        <w:t xml:space="preserve">Мероприятия по активизации работы комиссий по легализации объектов налогообложения (план 25180 </w:t>
      </w:r>
      <w:proofErr w:type="spellStart"/>
      <w:r w:rsidRPr="00CE2484">
        <w:rPr>
          <w:sz w:val="28"/>
          <w:szCs w:val="28"/>
        </w:rPr>
        <w:t>тыс.руб</w:t>
      </w:r>
      <w:proofErr w:type="spellEnd"/>
      <w:r w:rsidRPr="00CE2484">
        <w:rPr>
          <w:sz w:val="28"/>
          <w:szCs w:val="28"/>
        </w:rPr>
        <w:t xml:space="preserve">., достигнутый экономический эффект – 25782,2 тыс. рублей, или 102,3%). Проведено 24 заседания комиссии, заслушано 130 руководителей промышленных, сельскохозяйственных предприятий, индивидуальных предпринимателей и физических лиц. </w:t>
      </w:r>
    </w:p>
    <w:p w:rsidR="009801E0" w:rsidRPr="00CE2484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E2484">
        <w:rPr>
          <w:sz w:val="28"/>
          <w:szCs w:val="28"/>
        </w:rPr>
        <w:t xml:space="preserve">Проведения оценки эффективности налоговых льгот и ставок налогов по местным налогам. (план 19000 </w:t>
      </w:r>
      <w:proofErr w:type="spellStart"/>
      <w:r w:rsidRPr="00CE2484">
        <w:rPr>
          <w:sz w:val="28"/>
          <w:szCs w:val="28"/>
        </w:rPr>
        <w:t>тыс.руб</w:t>
      </w:r>
      <w:proofErr w:type="spellEnd"/>
      <w:r w:rsidRPr="00CE2484">
        <w:rPr>
          <w:sz w:val="28"/>
          <w:szCs w:val="28"/>
        </w:rPr>
        <w:t xml:space="preserve">., достигнутый экономический эффект 24857 </w:t>
      </w:r>
      <w:proofErr w:type="spellStart"/>
      <w:r w:rsidRPr="00CE2484">
        <w:rPr>
          <w:sz w:val="28"/>
          <w:szCs w:val="28"/>
        </w:rPr>
        <w:t>тыс.руб</w:t>
      </w:r>
      <w:proofErr w:type="spellEnd"/>
      <w:r w:rsidRPr="00CE2484">
        <w:rPr>
          <w:sz w:val="28"/>
          <w:szCs w:val="28"/>
        </w:rPr>
        <w:t>. или 100,0%) за счет отмены пониженных ставок налога для бюджетных, казенных и автономных учреждений независимо от источника финансирования.</w:t>
      </w:r>
    </w:p>
    <w:p w:rsidR="009801E0" w:rsidRPr="00CE2484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E2484">
        <w:rPr>
          <w:sz w:val="28"/>
          <w:szCs w:val="28"/>
        </w:rPr>
        <w:t xml:space="preserve">Осуществление мероприятий по погашению дебиторской задолженности в бюджет (план 1530 </w:t>
      </w:r>
      <w:proofErr w:type="spellStart"/>
      <w:r w:rsidRPr="00CE2484">
        <w:rPr>
          <w:sz w:val="28"/>
          <w:szCs w:val="28"/>
        </w:rPr>
        <w:t>тыс.руб</w:t>
      </w:r>
      <w:proofErr w:type="spellEnd"/>
      <w:r w:rsidRPr="00CE2484">
        <w:rPr>
          <w:sz w:val="28"/>
          <w:szCs w:val="28"/>
        </w:rPr>
        <w:t>., достигнутый экономический эффект – 3425тыс. рублей, или 223,8%).</w:t>
      </w:r>
    </w:p>
    <w:p w:rsidR="009801E0" w:rsidRPr="00123946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23946">
        <w:rPr>
          <w:sz w:val="28"/>
          <w:szCs w:val="28"/>
        </w:rPr>
        <w:t xml:space="preserve">Принятие мер по увеличению неналоговых доходов в консолидированный бюджет (план 340 </w:t>
      </w:r>
      <w:proofErr w:type="spellStart"/>
      <w:r w:rsidRPr="00123946">
        <w:rPr>
          <w:sz w:val="28"/>
          <w:szCs w:val="28"/>
        </w:rPr>
        <w:t>тыс.руб</w:t>
      </w:r>
      <w:proofErr w:type="spellEnd"/>
      <w:r w:rsidRPr="00123946">
        <w:rPr>
          <w:sz w:val="28"/>
          <w:szCs w:val="28"/>
        </w:rPr>
        <w:t>., достигнутый экономический эффект – 1763,5 тыс. рублей, или 518,6%), в т.ч.</w:t>
      </w:r>
      <w:r>
        <w:rPr>
          <w:sz w:val="28"/>
          <w:szCs w:val="28"/>
        </w:rPr>
        <w:t xml:space="preserve"> за счет:</w:t>
      </w:r>
      <w:r w:rsidRPr="00123946">
        <w:rPr>
          <w:sz w:val="28"/>
          <w:szCs w:val="28"/>
        </w:rPr>
        <w:t xml:space="preserve"> </w:t>
      </w:r>
    </w:p>
    <w:p w:rsidR="009801E0" w:rsidRPr="00123946" w:rsidRDefault="009801E0" w:rsidP="00BF6C33">
      <w:pPr>
        <w:ind w:firstLine="720"/>
        <w:jc w:val="both"/>
        <w:rPr>
          <w:sz w:val="28"/>
          <w:szCs w:val="28"/>
        </w:rPr>
      </w:pPr>
      <w:r w:rsidRPr="00123946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123946">
        <w:rPr>
          <w:sz w:val="28"/>
          <w:szCs w:val="28"/>
        </w:rPr>
        <w:t>ценки эффективности установленной ставки по отчислениям части прибыли, остающейся после уплаты налогов и иных обязательных платежей муниципальных унитарных предприятий,</w:t>
      </w:r>
    </w:p>
    <w:p w:rsidR="009801E0" w:rsidRPr="00123946" w:rsidRDefault="009801E0" w:rsidP="0012394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3946">
        <w:rPr>
          <w:sz w:val="28"/>
          <w:szCs w:val="28"/>
        </w:rPr>
        <w:t xml:space="preserve">б) пересмотрены в сторону </w:t>
      </w:r>
      <w:proofErr w:type="gramStart"/>
      <w:r w:rsidRPr="00123946">
        <w:rPr>
          <w:sz w:val="28"/>
          <w:szCs w:val="28"/>
        </w:rPr>
        <w:t>увеличения  ставки</w:t>
      </w:r>
      <w:proofErr w:type="gramEnd"/>
      <w:r w:rsidRPr="00123946">
        <w:rPr>
          <w:sz w:val="28"/>
          <w:szCs w:val="28"/>
        </w:rPr>
        <w:t xml:space="preserve"> арендной платы исходя из кадастровой стоимости земельных участков под размещение объектов индивидуального  жилищного строительства, для ведения личного подсобного хозяйства (приусадебный участок), а также гаражей и автостоянок. </w:t>
      </w:r>
    </w:p>
    <w:p w:rsidR="009801E0" w:rsidRPr="00123946" w:rsidRDefault="009801E0" w:rsidP="00BF6C33">
      <w:pPr>
        <w:ind w:firstLine="720"/>
        <w:jc w:val="both"/>
        <w:rPr>
          <w:sz w:val="28"/>
          <w:szCs w:val="28"/>
        </w:rPr>
      </w:pPr>
      <w:r w:rsidRPr="00123946">
        <w:rPr>
          <w:sz w:val="28"/>
          <w:szCs w:val="28"/>
        </w:rPr>
        <w:t>в) проведения рейдовых проверок по местам разработки карьеров, мероприятий земельного контроля.</w:t>
      </w:r>
    </w:p>
    <w:p w:rsidR="009801E0" w:rsidRDefault="009801E0" w:rsidP="00123946">
      <w:pPr>
        <w:numPr>
          <w:ilvl w:val="1"/>
          <w:numId w:val="3"/>
        </w:numPr>
        <w:tabs>
          <w:tab w:val="clear" w:pos="1500"/>
          <w:tab w:val="num" w:pos="720"/>
        </w:tabs>
        <w:ind w:left="0" w:firstLine="720"/>
        <w:jc w:val="both"/>
        <w:rPr>
          <w:sz w:val="28"/>
          <w:szCs w:val="28"/>
        </w:rPr>
      </w:pPr>
      <w:r w:rsidRPr="00123946">
        <w:rPr>
          <w:sz w:val="28"/>
          <w:szCs w:val="28"/>
        </w:rPr>
        <w:t xml:space="preserve">Осуществление мероприятий по мониторингу эффективности администрирования неналоговых доходов </w:t>
      </w:r>
      <w:r>
        <w:rPr>
          <w:sz w:val="28"/>
          <w:szCs w:val="28"/>
        </w:rPr>
        <w:t>(</w:t>
      </w:r>
      <w:r w:rsidRPr="00123946">
        <w:rPr>
          <w:sz w:val="28"/>
          <w:szCs w:val="28"/>
        </w:rPr>
        <w:t xml:space="preserve">план 50 </w:t>
      </w:r>
      <w:proofErr w:type="spellStart"/>
      <w:r w:rsidRPr="00123946">
        <w:rPr>
          <w:sz w:val="28"/>
          <w:szCs w:val="28"/>
        </w:rPr>
        <w:t>тыс.руб</w:t>
      </w:r>
      <w:proofErr w:type="spellEnd"/>
      <w:r w:rsidRPr="00123946">
        <w:rPr>
          <w:sz w:val="28"/>
          <w:szCs w:val="28"/>
        </w:rPr>
        <w:t>., достигнутый экономический эффект – 115,5 тыс. рублей, или 231,0%)</w:t>
      </w:r>
    </w:p>
    <w:p w:rsidR="009801E0" w:rsidRDefault="009801E0" w:rsidP="005072F3">
      <w:pPr>
        <w:numPr>
          <w:ilvl w:val="1"/>
          <w:numId w:val="3"/>
        </w:numPr>
        <w:tabs>
          <w:tab w:val="clear" w:pos="1500"/>
          <w:tab w:val="num" w:pos="720"/>
        </w:tabs>
        <w:ind w:left="0" w:firstLine="720"/>
        <w:jc w:val="both"/>
        <w:rPr>
          <w:sz w:val="28"/>
          <w:szCs w:val="28"/>
        </w:rPr>
      </w:pPr>
      <w:r w:rsidRPr="005072F3">
        <w:rPr>
          <w:sz w:val="28"/>
          <w:szCs w:val="28"/>
        </w:rPr>
        <w:lastRenderedPageBreak/>
        <w:t>Проведение мероприятий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</w:t>
      </w:r>
      <w:r>
        <w:rPr>
          <w:sz w:val="28"/>
          <w:szCs w:val="28"/>
        </w:rPr>
        <w:t xml:space="preserve"> (</w:t>
      </w:r>
      <w:r w:rsidRPr="00123946">
        <w:rPr>
          <w:sz w:val="28"/>
          <w:szCs w:val="28"/>
        </w:rPr>
        <w:t xml:space="preserve">план </w:t>
      </w:r>
      <w:r>
        <w:rPr>
          <w:sz w:val="28"/>
          <w:szCs w:val="28"/>
        </w:rPr>
        <w:t>32,1</w:t>
      </w:r>
      <w:r w:rsidRPr="00123946">
        <w:rPr>
          <w:sz w:val="28"/>
          <w:szCs w:val="28"/>
        </w:rPr>
        <w:t xml:space="preserve"> </w:t>
      </w:r>
      <w:proofErr w:type="spellStart"/>
      <w:r w:rsidRPr="00123946">
        <w:rPr>
          <w:sz w:val="28"/>
          <w:szCs w:val="28"/>
        </w:rPr>
        <w:t>тыс.руб</w:t>
      </w:r>
      <w:proofErr w:type="spellEnd"/>
      <w:r w:rsidRPr="00123946">
        <w:rPr>
          <w:sz w:val="28"/>
          <w:szCs w:val="28"/>
        </w:rPr>
        <w:t xml:space="preserve">., достигнутый экономический эффект – </w:t>
      </w:r>
      <w:r>
        <w:rPr>
          <w:sz w:val="28"/>
          <w:szCs w:val="28"/>
        </w:rPr>
        <w:t>70,0</w:t>
      </w:r>
      <w:r w:rsidRPr="00123946">
        <w:rPr>
          <w:sz w:val="28"/>
          <w:szCs w:val="28"/>
        </w:rPr>
        <w:t xml:space="preserve"> тыс. рублей, или 2</w:t>
      </w:r>
      <w:r>
        <w:rPr>
          <w:sz w:val="28"/>
          <w:szCs w:val="28"/>
        </w:rPr>
        <w:t>18</w:t>
      </w:r>
      <w:r w:rsidRPr="00123946">
        <w:rPr>
          <w:sz w:val="28"/>
          <w:szCs w:val="28"/>
        </w:rPr>
        <w:t>,0%)</w:t>
      </w:r>
    </w:p>
    <w:p w:rsidR="009801E0" w:rsidRPr="00123946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23946">
        <w:rPr>
          <w:sz w:val="28"/>
          <w:szCs w:val="28"/>
        </w:rPr>
        <w:t xml:space="preserve">Реализация мер по привлечению нанимателей муниципального жилого фонда к уплате взносов на капитальный ремонт общего имущества многоквартирных домов (план 718 </w:t>
      </w:r>
      <w:proofErr w:type="spellStart"/>
      <w:r w:rsidRPr="00123946">
        <w:rPr>
          <w:sz w:val="28"/>
          <w:szCs w:val="28"/>
        </w:rPr>
        <w:t>тыс.руб</w:t>
      </w:r>
      <w:proofErr w:type="spellEnd"/>
      <w:r w:rsidRPr="00123946">
        <w:rPr>
          <w:sz w:val="28"/>
          <w:szCs w:val="28"/>
        </w:rPr>
        <w:t>., достигнутый экономический эффект – 686 тыс. рублей, или 95,5% за счет сокращения количества лицевых счетов нанимателей муниципального жилого фонда в связи с его приватизацией);</w:t>
      </w:r>
    </w:p>
    <w:p w:rsidR="009801E0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5072F3">
        <w:rPr>
          <w:sz w:val="28"/>
          <w:szCs w:val="28"/>
        </w:rPr>
        <w:t xml:space="preserve">Мероприятия по развитию муниципального дорожного фонда, путем оформления права собственности на автомобильные дороги общего пользования местного значения муниципального района </w:t>
      </w:r>
      <w:proofErr w:type="spellStart"/>
      <w:r w:rsidRPr="005072F3">
        <w:rPr>
          <w:sz w:val="28"/>
          <w:szCs w:val="28"/>
        </w:rPr>
        <w:t>Мелеузовский</w:t>
      </w:r>
      <w:proofErr w:type="spellEnd"/>
      <w:r w:rsidRPr="005072F3">
        <w:rPr>
          <w:sz w:val="28"/>
          <w:szCs w:val="28"/>
        </w:rPr>
        <w:t xml:space="preserve"> район Республики Башкортостан (план 2000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072F3">
        <w:rPr>
          <w:sz w:val="28"/>
          <w:szCs w:val="28"/>
        </w:rPr>
        <w:t xml:space="preserve">, достигнутый экономический эффект 2109,5 </w:t>
      </w:r>
      <w:proofErr w:type="spellStart"/>
      <w:r w:rsidRPr="005072F3">
        <w:rPr>
          <w:sz w:val="28"/>
          <w:szCs w:val="28"/>
        </w:rPr>
        <w:t>тыс.руб</w:t>
      </w:r>
      <w:proofErr w:type="spellEnd"/>
      <w:r w:rsidRPr="005072F3">
        <w:rPr>
          <w:sz w:val="28"/>
          <w:szCs w:val="28"/>
        </w:rPr>
        <w:t>. или 105,4%);</w:t>
      </w:r>
    </w:p>
    <w:p w:rsidR="009801E0" w:rsidRDefault="009801E0" w:rsidP="005072F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5072F3">
        <w:rPr>
          <w:sz w:val="28"/>
          <w:szCs w:val="28"/>
        </w:rPr>
        <w:t>Реализация мер по привлечению собственников рекламных конструкций, установивших стенды на подъездах многоквартирных домов, остановочных пунктах к уплате государственной пошлины за установку рекламной конструкции</w:t>
      </w:r>
      <w:r>
        <w:rPr>
          <w:sz w:val="28"/>
          <w:szCs w:val="28"/>
        </w:rPr>
        <w:t xml:space="preserve"> </w:t>
      </w:r>
      <w:r w:rsidRPr="005072F3">
        <w:rPr>
          <w:sz w:val="28"/>
          <w:szCs w:val="28"/>
        </w:rPr>
        <w:t xml:space="preserve">(план </w:t>
      </w:r>
      <w:r>
        <w:rPr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072F3">
        <w:rPr>
          <w:sz w:val="28"/>
          <w:szCs w:val="28"/>
        </w:rPr>
        <w:t xml:space="preserve">, достигнутый экономический эффект </w:t>
      </w:r>
      <w:r>
        <w:rPr>
          <w:sz w:val="28"/>
          <w:szCs w:val="28"/>
        </w:rPr>
        <w:t>0</w:t>
      </w:r>
      <w:r w:rsidRPr="005072F3">
        <w:rPr>
          <w:sz w:val="28"/>
          <w:szCs w:val="28"/>
        </w:rPr>
        <w:t xml:space="preserve"> </w:t>
      </w:r>
      <w:proofErr w:type="spellStart"/>
      <w:r w:rsidRPr="005072F3">
        <w:rPr>
          <w:sz w:val="28"/>
          <w:szCs w:val="28"/>
        </w:rPr>
        <w:t>тыс.руб</w:t>
      </w:r>
      <w:proofErr w:type="spellEnd"/>
      <w:r w:rsidRPr="005072F3">
        <w:rPr>
          <w:sz w:val="28"/>
          <w:szCs w:val="28"/>
        </w:rPr>
        <w:t>. в связи с отсутствием разрешений с истекшим сроком действия.);</w:t>
      </w:r>
    </w:p>
    <w:p w:rsidR="009801E0" w:rsidRPr="005072F3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5072F3">
        <w:rPr>
          <w:sz w:val="28"/>
          <w:szCs w:val="28"/>
        </w:rPr>
        <w:t>Работа по оформлению невостребованных паевых земель за муниципалитетами</w:t>
      </w:r>
      <w:r>
        <w:rPr>
          <w:sz w:val="28"/>
          <w:szCs w:val="28"/>
        </w:rPr>
        <w:t xml:space="preserve"> (план 100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достигнутый экономический эффект 217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 или 217,0%)</w:t>
      </w:r>
    </w:p>
    <w:p w:rsidR="009801E0" w:rsidRPr="005072F3" w:rsidRDefault="009801E0" w:rsidP="00BF6C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5072F3">
        <w:rPr>
          <w:sz w:val="28"/>
          <w:szCs w:val="28"/>
        </w:rPr>
        <w:t xml:space="preserve">Организация работы по участию муниципальных образований </w:t>
      </w:r>
      <w:proofErr w:type="spellStart"/>
      <w:r w:rsidRPr="005072F3">
        <w:rPr>
          <w:sz w:val="28"/>
          <w:szCs w:val="28"/>
        </w:rPr>
        <w:t>Мелеузовского</w:t>
      </w:r>
      <w:proofErr w:type="spellEnd"/>
      <w:r w:rsidRPr="005072F3">
        <w:rPr>
          <w:sz w:val="28"/>
          <w:szCs w:val="28"/>
        </w:rPr>
        <w:t xml:space="preserve"> района в программе поддержки местных инициатив с учетом привлечения средств граждан и спонсоров для решения вопросов местного значения (план 600 </w:t>
      </w:r>
      <w:proofErr w:type="spellStart"/>
      <w:r w:rsidRPr="005072F3">
        <w:rPr>
          <w:sz w:val="28"/>
          <w:szCs w:val="28"/>
        </w:rPr>
        <w:t>тыс.руб</w:t>
      </w:r>
      <w:proofErr w:type="spellEnd"/>
      <w:r w:rsidRPr="005072F3">
        <w:rPr>
          <w:sz w:val="28"/>
          <w:szCs w:val="28"/>
        </w:rPr>
        <w:t xml:space="preserve">., достигнутый экономический эффект – 2826,2 тыс. рублей, или 471,0%). </w:t>
      </w:r>
    </w:p>
    <w:p w:rsidR="009801E0" w:rsidRPr="00C2133A" w:rsidRDefault="009801E0" w:rsidP="00F84B46">
      <w:pPr>
        <w:widowControl w:val="0"/>
        <w:jc w:val="center"/>
        <w:rPr>
          <w:b/>
          <w:color w:val="000000"/>
          <w:sz w:val="28"/>
          <w:szCs w:val="28"/>
        </w:rPr>
      </w:pPr>
      <w:r w:rsidRPr="00C2133A">
        <w:rPr>
          <w:b/>
          <w:color w:val="000000"/>
          <w:sz w:val="28"/>
          <w:szCs w:val="28"/>
        </w:rPr>
        <w:t>По расходам:</w:t>
      </w:r>
    </w:p>
    <w:p w:rsidR="009801E0" w:rsidRPr="004C39FA" w:rsidRDefault="009801E0" w:rsidP="00E116FA">
      <w:pPr>
        <w:widowControl w:val="0"/>
        <w:ind w:firstLine="708"/>
        <w:jc w:val="center"/>
        <w:rPr>
          <w:b/>
          <w:color w:val="000000"/>
          <w:sz w:val="28"/>
          <w:szCs w:val="28"/>
          <w:highlight w:val="yellow"/>
        </w:rPr>
      </w:pPr>
    </w:p>
    <w:p w:rsidR="009801E0" w:rsidRPr="00C2133A" w:rsidRDefault="009801E0" w:rsidP="00D233B2">
      <w:pPr>
        <w:widowControl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2133A">
        <w:rPr>
          <w:color w:val="000000"/>
          <w:sz w:val="28"/>
          <w:szCs w:val="28"/>
        </w:rPr>
        <w:t>Часть мероприятий выполнена и перевыполнена, в том числе:</w:t>
      </w:r>
    </w:p>
    <w:p w:rsidR="009801E0" w:rsidRPr="00C2133A" w:rsidRDefault="009801E0" w:rsidP="00AA4F26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Мероприятия по оптимизации органов местного самоуправления (план </w:t>
      </w:r>
      <w:r w:rsidR="00C2133A" w:rsidRPr="00C2133A">
        <w:rPr>
          <w:color w:val="000000"/>
          <w:szCs w:val="28"/>
        </w:rPr>
        <w:t>2 933,8</w:t>
      </w:r>
      <w:r w:rsidRPr="00C2133A">
        <w:rPr>
          <w:color w:val="000000"/>
          <w:szCs w:val="28"/>
        </w:rPr>
        <w:t xml:space="preserve"> тыс. рублей, достигнутый экономический эффект – </w:t>
      </w:r>
      <w:r w:rsidR="00C2133A" w:rsidRPr="00C2133A">
        <w:rPr>
          <w:color w:val="000000"/>
          <w:szCs w:val="28"/>
        </w:rPr>
        <w:t>3 481,7</w:t>
      </w:r>
      <w:r w:rsidRPr="00C2133A">
        <w:rPr>
          <w:szCs w:val="28"/>
        </w:rPr>
        <w:t xml:space="preserve"> тыс. рублей, или </w:t>
      </w:r>
      <w:r w:rsidR="00C2133A" w:rsidRPr="00C2133A">
        <w:rPr>
          <w:szCs w:val="28"/>
        </w:rPr>
        <w:t>118,7</w:t>
      </w:r>
      <w:r w:rsidRPr="00C2133A">
        <w:rPr>
          <w:szCs w:val="28"/>
        </w:rPr>
        <w:t xml:space="preserve"> %) за счет</w:t>
      </w:r>
      <w:r w:rsidRPr="00C2133A">
        <w:rPr>
          <w:color w:val="000000"/>
          <w:szCs w:val="28"/>
        </w:rPr>
        <w:t xml:space="preserve"> установления дифференцированного подхода к снижению размера выплат стимулирующего характера муниципальным служащим</w:t>
      </w:r>
      <w:r w:rsidR="00C2133A" w:rsidRPr="00C2133A">
        <w:rPr>
          <w:color w:val="000000"/>
          <w:szCs w:val="28"/>
        </w:rPr>
        <w:t xml:space="preserve"> и централизации бухгалтерского учета в сельских поселениях</w:t>
      </w:r>
      <w:r w:rsidRPr="00C2133A">
        <w:rPr>
          <w:color w:val="000000"/>
          <w:szCs w:val="28"/>
        </w:rPr>
        <w:t>.</w:t>
      </w:r>
    </w:p>
    <w:p w:rsidR="009801E0" w:rsidRPr="00C2133A" w:rsidRDefault="009801E0" w:rsidP="006C309C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>2. Выполнение функций, работ, оказание муниципальных услуг</w:t>
      </w:r>
      <w:r w:rsidRPr="00C2133A">
        <w:t xml:space="preserve"> </w:t>
      </w:r>
      <w:r w:rsidRPr="00C2133A">
        <w:rPr>
          <w:color w:val="000000"/>
          <w:szCs w:val="28"/>
        </w:rPr>
        <w:t>(план 1</w:t>
      </w:r>
      <w:r w:rsidR="00C2133A" w:rsidRPr="00C2133A">
        <w:rPr>
          <w:color w:val="000000"/>
          <w:szCs w:val="28"/>
        </w:rPr>
        <w:t>4 071,2</w:t>
      </w:r>
      <w:r w:rsidRPr="00C2133A">
        <w:rPr>
          <w:color w:val="000000"/>
          <w:szCs w:val="28"/>
        </w:rPr>
        <w:t xml:space="preserve"> тыс. рублей, достигнутый экономический эффект – 3</w:t>
      </w:r>
      <w:r w:rsidR="00C2133A" w:rsidRPr="00C2133A">
        <w:rPr>
          <w:color w:val="000000"/>
          <w:szCs w:val="28"/>
        </w:rPr>
        <w:t>8 647,4</w:t>
      </w:r>
      <w:r w:rsidRPr="00C2133A">
        <w:rPr>
          <w:color w:val="000000"/>
          <w:szCs w:val="28"/>
        </w:rPr>
        <w:t xml:space="preserve"> тыс. рублей или 2</w:t>
      </w:r>
      <w:r w:rsidR="00C2133A" w:rsidRPr="00C2133A">
        <w:rPr>
          <w:color w:val="000000"/>
          <w:szCs w:val="28"/>
        </w:rPr>
        <w:t>74,7</w:t>
      </w:r>
      <w:r w:rsidRPr="00C2133A">
        <w:rPr>
          <w:color w:val="000000"/>
          <w:szCs w:val="28"/>
        </w:rPr>
        <w:t xml:space="preserve"> %) из них за счет:</w:t>
      </w:r>
    </w:p>
    <w:p w:rsidR="009801E0" w:rsidRPr="00C2133A" w:rsidRDefault="009801E0" w:rsidP="00711967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а) передачи непрофильных функций муниципальных учреждений образования, культуры, спорта и молодежной политики по уборке помещений, охране и содержанию зданий, организации питания, стирке белья на аутсорсинг в сумме </w:t>
      </w:r>
      <w:r w:rsidR="00C2133A" w:rsidRPr="00C2133A">
        <w:rPr>
          <w:color w:val="000000"/>
          <w:szCs w:val="28"/>
        </w:rPr>
        <w:t>3 220,8</w:t>
      </w:r>
      <w:r w:rsidRPr="00C2133A">
        <w:rPr>
          <w:color w:val="000000"/>
          <w:szCs w:val="28"/>
        </w:rPr>
        <w:t xml:space="preserve"> тыс. рублей;</w:t>
      </w:r>
    </w:p>
    <w:p w:rsidR="009801E0" w:rsidRPr="00C2133A" w:rsidRDefault="009801E0" w:rsidP="00711967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б) приведения категории льготников по обеспечению питанием в сфере </w:t>
      </w:r>
      <w:r w:rsidRPr="00C2133A">
        <w:rPr>
          <w:color w:val="000000"/>
          <w:szCs w:val="28"/>
        </w:rPr>
        <w:lastRenderedPageBreak/>
        <w:t xml:space="preserve">образования в соответствие с категориями, установленными Федеральным законом № 273-ФЗ «Об образовании в Российской Федерации» в сумме </w:t>
      </w:r>
      <w:r w:rsidR="00C2133A" w:rsidRPr="00C2133A">
        <w:rPr>
          <w:color w:val="000000"/>
          <w:szCs w:val="28"/>
        </w:rPr>
        <w:t>7 899,8</w:t>
      </w:r>
      <w:r w:rsidRPr="00C2133A">
        <w:rPr>
          <w:color w:val="000000"/>
          <w:szCs w:val="28"/>
        </w:rPr>
        <w:t xml:space="preserve"> тыс. рублей;</w:t>
      </w:r>
    </w:p>
    <w:p w:rsidR="009801E0" w:rsidRPr="00C2133A" w:rsidRDefault="009801E0" w:rsidP="00711967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>в) оптимизации бюджетных расходов МБУ «Информационно-консультационный центр» на выполнение муниципального задания (сокращение бюджетных расходов путем планомерного замещения внебюджетными источниками) на сумму 2</w:t>
      </w:r>
      <w:r w:rsidR="00C2133A" w:rsidRPr="00C2133A">
        <w:rPr>
          <w:color w:val="000000"/>
          <w:szCs w:val="28"/>
        </w:rPr>
        <w:t>23,8</w:t>
      </w:r>
      <w:r w:rsidRPr="00C2133A">
        <w:rPr>
          <w:color w:val="000000"/>
          <w:szCs w:val="28"/>
        </w:rPr>
        <w:t xml:space="preserve"> тыс. рублей.</w:t>
      </w:r>
    </w:p>
    <w:p w:rsidR="009801E0" w:rsidRPr="00C2133A" w:rsidRDefault="009801E0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3. </w:t>
      </w:r>
      <w:r w:rsidR="00C2133A" w:rsidRPr="00C2133A">
        <w:rPr>
          <w:color w:val="000000"/>
          <w:szCs w:val="28"/>
        </w:rPr>
        <w:t>Оптимизация расходов на содержание бюджетной сети</w:t>
      </w:r>
      <w:r w:rsidRPr="00C2133A">
        <w:rPr>
          <w:color w:val="000000"/>
          <w:szCs w:val="28"/>
        </w:rPr>
        <w:t xml:space="preserve"> (план </w:t>
      </w:r>
      <w:r w:rsidR="00C2133A" w:rsidRPr="00C2133A">
        <w:rPr>
          <w:color w:val="000000"/>
          <w:szCs w:val="28"/>
        </w:rPr>
        <w:t>737,3</w:t>
      </w:r>
      <w:r w:rsidRPr="00C2133A">
        <w:rPr>
          <w:color w:val="000000"/>
          <w:szCs w:val="28"/>
        </w:rPr>
        <w:t xml:space="preserve"> тыс. рублей, достигнутый экономический эффект – </w:t>
      </w:r>
      <w:r w:rsidR="00C2133A" w:rsidRPr="00C2133A">
        <w:rPr>
          <w:color w:val="000000"/>
          <w:szCs w:val="28"/>
        </w:rPr>
        <w:t>737,3</w:t>
      </w:r>
      <w:r w:rsidRPr="00C2133A">
        <w:rPr>
          <w:color w:val="000000"/>
          <w:szCs w:val="28"/>
        </w:rPr>
        <w:t xml:space="preserve"> тыс. рублей или 100,0 %) за счет временного приостановления деятельности двух начальных школ.</w:t>
      </w:r>
    </w:p>
    <w:p w:rsidR="009801E0" w:rsidRPr="00C2133A" w:rsidRDefault="009801E0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4. Развитие инфраструктуры, управление имуществом, в том числе имуществом подведомственных учреждений (план 2 160,0 тыс. рублей, достигнутый экономический эффект </w:t>
      </w:r>
      <w:r w:rsidR="00C2133A" w:rsidRPr="00C2133A">
        <w:rPr>
          <w:color w:val="000000"/>
          <w:szCs w:val="28"/>
        </w:rPr>
        <w:t>3 787,0</w:t>
      </w:r>
      <w:r w:rsidRPr="00C2133A">
        <w:rPr>
          <w:color w:val="000000"/>
          <w:szCs w:val="28"/>
        </w:rPr>
        <w:t xml:space="preserve"> тыс. рублей, или 1</w:t>
      </w:r>
      <w:r w:rsidR="00C2133A" w:rsidRPr="00C2133A">
        <w:rPr>
          <w:color w:val="000000"/>
          <w:szCs w:val="28"/>
        </w:rPr>
        <w:t>75,3</w:t>
      </w:r>
      <w:r w:rsidRPr="00C2133A">
        <w:rPr>
          <w:color w:val="000000"/>
          <w:szCs w:val="28"/>
        </w:rPr>
        <w:t xml:space="preserve"> %), из них за счет:</w:t>
      </w:r>
    </w:p>
    <w:p w:rsidR="009801E0" w:rsidRPr="00C2133A" w:rsidRDefault="009801E0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- проведения работ по снижению стоимости работ на 1 км дорог – </w:t>
      </w:r>
      <w:r w:rsidR="00C2133A" w:rsidRPr="00C2133A">
        <w:rPr>
          <w:color w:val="000000"/>
          <w:szCs w:val="28"/>
        </w:rPr>
        <w:t>3 548,6</w:t>
      </w:r>
      <w:r w:rsidRPr="00C2133A">
        <w:rPr>
          <w:color w:val="000000"/>
          <w:szCs w:val="28"/>
        </w:rPr>
        <w:t xml:space="preserve"> тыс. рублей;</w:t>
      </w:r>
    </w:p>
    <w:p w:rsidR="009801E0" w:rsidRPr="00C2133A" w:rsidRDefault="009801E0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C2133A">
        <w:rPr>
          <w:color w:val="000000"/>
          <w:szCs w:val="28"/>
        </w:rPr>
        <w:t xml:space="preserve">- проведения работ по оформлению дорог в муниципальную собственность – </w:t>
      </w:r>
      <w:r w:rsidR="00C2133A" w:rsidRPr="00C2133A">
        <w:rPr>
          <w:color w:val="000000"/>
          <w:szCs w:val="28"/>
        </w:rPr>
        <w:t>238,4</w:t>
      </w:r>
      <w:r w:rsidRPr="00C2133A">
        <w:rPr>
          <w:color w:val="000000"/>
          <w:szCs w:val="28"/>
        </w:rPr>
        <w:t xml:space="preserve"> тыс. рублей.</w:t>
      </w:r>
    </w:p>
    <w:p w:rsidR="009801E0" w:rsidRPr="000D1F88" w:rsidRDefault="00C2133A" w:rsidP="007D0B46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0D1F88">
        <w:rPr>
          <w:color w:val="000000"/>
          <w:szCs w:val="28"/>
        </w:rPr>
        <w:t xml:space="preserve"> 5</w:t>
      </w:r>
      <w:r w:rsidR="009801E0" w:rsidRPr="000D1F88">
        <w:rPr>
          <w:color w:val="000000"/>
          <w:szCs w:val="28"/>
        </w:rPr>
        <w:t>. Социальные выплаты населению (план 100,0 тыс. рублей, достигнутый экономический эффект 100,0 тыс. рублей, или 100,0 %) за счет оптимизации и проведения инвентаризации муниципальных социальных выплат.</w:t>
      </w:r>
    </w:p>
    <w:p w:rsidR="009801E0" w:rsidRPr="004C39FA" w:rsidRDefault="009801E0" w:rsidP="009F051A">
      <w:pPr>
        <w:pStyle w:val="aa"/>
        <w:widowControl w:val="0"/>
        <w:tabs>
          <w:tab w:val="left" w:pos="1134"/>
        </w:tabs>
        <w:ind w:left="0" w:firstLine="709"/>
        <w:jc w:val="both"/>
        <w:rPr>
          <w:color w:val="000000"/>
          <w:szCs w:val="28"/>
          <w:highlight w:val="yellow"/>
        </w:rPr>
      </w:pPr>
    </w:p>
    <w:p w:rsidR="009801E0" w:rsidRPr="00C2133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33A">
        <w:rPr>
          <w:color w:val="000000"/>
          <w:sz w:val="28"/>
          <w:szCs w:val="28"/>
        </w:rPr>
        <w:t>Заместитель главы Администрации-</w:t>
      </w:r>
    </w:p>
    <w:p w:rsidR="009801E0" w:rsidRPr="00C2133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133A">
        <w:rPr>
          <w:color w:val="000000"/>
          <w:sz w:val="28"/>
          <w:szCs w:val="28"/>
        </w:rPr>
        <w:t>начальник финансового управления</w:t>
      </w:r>
      <w:r w:rsidRPr="00C2133A">
        <w:rPr>
          <w:color w:val="000000"/>
          <w:sz w:val="28"/>
          <w:szCs w:val="28"/>
        </w:rPr>
        <w:tab/>
      </w:r>
      <w:r w:rsidRPr="00C2133A">
        <w:rPr>
          <w:color w:val="000000"/>
          <w:sz w:val="28"/>
          <w:szCs w:val="28"/>
        </w:rPr>
        <w:tab/>
        <w:t xml:space="preserve">                   </w:t>
      </w:r>
      <w:r w:rsidRPr="00C2133A">
        <w:rPr>
          <w:color w:val="000000"/>
          <w:sz w:val="28"/>
          <w:szCs w:val="28"/>
        </w:rPr>
        <w:tab/>
        <w:t>Г.Н. Гончаренко</w:t>
      </w: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01E0" w:rsidRPr="004C39FA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  <w:r w:rsidRPr="004C39FA">
        <w:rPr>
          <w:color w:val="000000"/>
          <w:sz w:val="20"/>
          <w:szCs w:val="20"/>
          <w:highlight w:val="yellow"/>
        </w:rPr>
        <w:t>Исп.: Г.Ф. Тагирова, О.В. Губайдуллина</w:t>
      </w:r>
    </w:p>
    <w:p w:rsidR="009801E0" w:rsidRPr="00711967" w:rsidRDefault="009801E0" w:rsidP="00D233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C39FA">
        <w:rPr>
          <w:color w:val="000000"/>
          <w:sz w:val="20"/>
          <w:szCs w:val="20"/>
          <w:highlight w:val="yellow"/>
        </w:rPr>
        <w:t xml:space="preserve">   (34764) 3-52-23, 3-50-29</w:t>
      </w:r>
    </w:p>
    <w:sectPr w:rsidR="009801E0" w:rsidRPr="00711967" w:rsidSect="008332E1">
      <w:headerReference w:type="default" r:id="rId8"/>
      <w:pgSz w:w="11906" w:h="16838"/>
      <w:pgMar w:top="567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8A" w:rsidRDefault="007C0F8A" w:rsidP="002B672F">
      <w:r>
        <w:separator/>
      </w:r>
    </w:p>
  </w:endnote>
  <w:endnote w:type="continuationSeparator" w:id="0">
    <w:p w:rsidR="007C0F8A" w:rsidRDefault="007C0F8A" w:rsidP="002B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8A" w:rsidRDefault="007C0F8A" w:rsidP="002B672F">
      <w:r>
        <w:separator/>
      </w:r>
    </w:p>
  </w:footnote>
  <w:footnote w:type="continuationSeparator" w:id="0">
    <w:p w:rsidR="007C0F8A" w:rsidRDefault="007C0F8A" w:rsidP="002B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E0" w:rsidRDefault="009801E0">
    <w:pPr>
      <w:pStyle w:val="a6"/>
      <w:jc w:val="center"/>
    </w:pPr>
  </w:p>
  <w:p w:rsidR="009801E0" w:rsidRDefault="009801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0242"/>
    <w:multiLevelType w:val="hybridMultilevel"/>
    <w:tmpl w:val="05EA4F30"/>
    <w:lvl w:ilvl="0" w:tplc="64D84F48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18F10D33"/>
    <w:multiLevelType w:val="hybridMultilevel"/>
    <w:tmpl w:val="9CC81248"/>
    <w:lvl w:ilvl="0" w:tplc="BB80C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43E7AA4"/>
    <w:multiLevelType w:val="hybridMultilevel"/>
    <w:tmpl w:val="CD08528A"/>
    <w:lvl w:ilvl="0" w:tplc="C2A23E02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789F38FE"/>
    <w:multiLevelType w:val="hybridMultilevel"/>
    <w:tmpl w:val="6D48F2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8D2"/>
    <w:rsid w:val="000149CD"/>
    <w:rsid w:val="00014EF5"/>
    <w:rsid w:val="000215D4"/>
    <w:rsid w:val="000326D5"/>
    <w:rsid w:val="0003787A"/>
    <w:rsid w:val="000420E9"/>
    <w:rsid w:val="00064920"/>
    <w:rsid w:val="00071FAF"/>
    <w:rsid w:val="00074214"/>
    <w:rsid w:val="00077393"/>
    <w:rsid w:val="000868DA"/>
    <w:rsid w:val="00093DEC"/>
    <w:rsid w:val="000950A1"/>
    <w:rsid w:val="00096509"/>
    <w:rsid w:val="000969F3"/>
    <w:rsid w:val="00097F87"/>
    <w:rsid w:val="000C5DB7"/>
    <w:rsid w:val="000D1F88"/>
    <w:rsid w:val="000D726B"/>
    <w:rsid w:val="000E1A56"/>
    <w:rsid w:val="000E4B2D"/>
    <w:rsid w:val="000E50B3"/>
    <w:rsid w:val="000F182B"/>
    <w:rsid w:val="00112877"/>
    <w:rsid w:val="001138E0"/>
    <w:rsid w:val="00122713"/>
    <w:rsid w:val="00123946"/>
    <w:rsid w:val="001342FF"/>
    <w:rsid w:val="001641BA"/>
    <w:rsid w:val="001733E1"/>
    <w:rsid w:val="00177D7F"/>
    <w:rsid w:val="0018173E"/>
    <w:rsid w:val="00182871"/>
    <w:rsid w:val="00183E27"/>
    <w:rsid w:val="001854A6"/>
    <w:rsid w:val="001A63EE"/>
    <w:rsid w:val="001B2141"/>
    <w:rsid w:val="001C650D"/>
    <w:rsid w:val="001F6579"/>
    <w:rsid w:val="00200E22"/>
    <w:rsid w:val="00204E48"/>
    <w:rsid w:val="00211D68"/>
    <w:rsid w:val="00224D4F"/>
    <w:rsid w:val="00231B01"/>
    <w:rsid w:val="002335BF"/>
    <w:rsid w:val="00241199"/>
    <w:rsid w:val="00242F44"/>
    <w:rsid w:val="00243542"/>
    <w:rsid w:val="00244B9A"/>
    <w:rsid w:val="0025562D"/>
    <w:rsid w:val="002708D2"/>
    <w:rsid w:val="00274F52"/>
    <w:rsid w:val="00287016"/>
    <w:rsid w:val="002949B0"/>
    <w:rsid w:val="002A1983"/>
    <w:rsid w:val="002B3C06"/>
    <w:rsid w:val="002B672F"/>
    <w:rsid w:val="002D095F"/>
    <w:rsid w:val="002D0A6A"/>
    <w:rsid w:val="002F41DA"/>
    <w:rsid w:val="002F73FE"/>
    <w:rsid w:val="00300904"/>
    <w:rsid w:val="00302E19"/>
    <w:rsid w:val="0032106C"/>
    <w:rsid w:val="00322B96"/>
    <w:rsid w:val="00335241"/>
    <w:rsid w:val="00336D9E"/>
    <w:rsid w:val="00362C85"/>
    <w:rsid w:val="00375A25"/>
    <w:rsid w:val="00381AA2"/>
    <w:rsid w:val="00385F40"/>
    <w:rsid w:val="003A15D7"/>
    <w:rsid w:val="003C4C4C"/>
    <w:rsid w:val="003C7CDC"/>
    <w:rsid w:val="003E24FF"/>
    <w:rsid w:val="00412CE6"/>
    <w:rsid w:val="0042149F"/>
    <w:rsid w:val="00451A2D"/>
    <w:rsid w:val="0046052B"/>
    <w:rsid w:val="004657D3"/>
    <w:rsid w:val="00472083"/>
    <w:rsid w:val="004736F4"/>
    <w:rsid w:val="00473B36"/>
    <w:rsid w:val="004824C8"/>
    <w:rsid w:val="004829BB"/>
    <w:rsid w:val="004829FB"/>
    <w:rsid w:val="00487F22"/>
    <w:rsid w:val="0049399B"/>
    <w:rsid w:val="004A7964"/>
    <w:rsid w:val="004B765B"/>
    <w:rsid w:val="004C39FA"/>
    <w:rsid w:val="004C5CA0"/>
    <w:rsid w:val="004D3656"/>
    <w:rsid w:val="004D64DE"/>
    <w:rsid w:val="004E5227"/>
    <w:rsid w:val="004F54A2"/>
    <w:rsid w:val="004F7E24"/>
    <w:rsid w:val="005072F3"/>
    <w:rsid w:val="00520062"/>
    <w:rsid w:val="00527AB9"/>
    <w:rsid w:val="00537F16"/>
    <w:rsid w:val="00537F59"/>
    <w:rsid w:val="00541ED6"/>
    <w:rsid w:val="00547319"/>
    <w:rsid w:val="005521C4"/>
    <w:rsid w:val="00564882"/>
    <w:rsid w:val="005811C9"/>
    <w:rsid w:val="00590A56"/>
    <w:rsid w:val="00597BBA"/>
    <w:rsid w:val="005E68CB"/>
    <w:rsid w:val="005F09A9"/>
    <w:rsid w:val="005F0AA4"/>
    <w:rsid w:val="005F5BD2"/>
    <w:rsid w:val="006036D1"/>
    <w:rsid w:val="00606812"/>
    <w:rsid w:val="006070AA"/>
    <w:rsid w:val="00613058"/>
    <w:rsid w:val="00616FEB"/>
    <w:rsid w:val="00637F81"/>
    <w:rsid w:val="00644766"/>
    <w:rsid w:val="0064635C"/>
    <w:rsid w:val="006524EE"/>
    <w:rsid w:val="0065463F"/>
    <w:rsid w:val="006633E8"/>
    <w:rsid w:val="006723C4"/>
    <w:rsid w:val="00673687"/>
    <w:rsid w:val="00683B98"/>
    <w:rsid w:val="006849C7"/>
    <w:rsid w:val="006A369A"/>
    <w:rsid w:val="006B7738"/>
    <w:rsid w:val="006C309C"/>
    <w:rsid w:val="006D1002"/>
    <w:rsid w:val="006E1311"/>
    <w:rsid w:val="006F1D93"/>
    <w:rsid w:val="00706FA8"/>
    <w:rsid w:val="00707C25"/>
    <w:rsid w:val="00711967"/>
    <w:rsid w:val="00714C6E"/>
    <w:rsid w:val="00725943"/>
    <w:rsid w:val="00763803"/>
    <w:rsid w:val="00775379"/>
    <w:rsid w:val="00776A1B"/>
    <w:rsid w:val="007807B5"/>
    <w:rsid w:val="00780F02"/>
    <w:rsid w:val="007902AD"/>
    <w:rsid w:val="007C0F8A"/>
    <w:rsid w:val="007D0B46"/>
    <w:rsid w:val="007D3F15"/>
    <w:rsid w:val="007F0D4E"/>
    <w:rsid w:val="007F2D9B"/>
    <w:rsid w:val="007F40B0"/>
    <w:rsid w:val="007F7A4B"/>
    <w:rsid w:val="00805B46"/>
    <w:rsid w:val="00822D13"/>
    <w:rsid w:val="0082582F"/>
    <w:rsid w:val="0082638D"/>
    <w:rsid w:val="0082721A"/>
    <w:rsid w:val="008332E1"/>
    <w:rsid w:val="00836BE9"/>
    <w:rsid w:val="00840229"/>
    <w:rsid w:val="00843213"/>
    <w:rsid w:val="00856291"/>
    <w:rsid w:val="008622C6"/>
    <w:rsid w:val="00881FF7"/>
    <w:rsid w:val="008A348E"/>
    <w:rsid w:val="008A3785"/>
    <w:rsid w:val="008A4593"/>
    <w:rsid w:val="008B28DB"/>
    <w:rsid w:val="008B5FC0"/>
    <w:rsid w:val="008D4805"/>
    <w:rsid w:val="008E3432"/>
    <w:rsid w:val="008F003A"/>
    <w:rsid w:val="008F563D"/>
    <w:rsid w:val="008F7CBB"/>
    <w:rsid w:val="00921B00"/>
    <w:rsid w:val="009314DD"/>
    <w:rsid w:val="00940195"/>
    <w:rsid w:val="00943C40"/>
    <w:rsid w:val="0095412D"/>
    <w:rsid w:val="00966DBC"/>
    <w:rsid w:val="00972583"/>
    <w:rsid w:val="009801E0"/>
    <w:rsid w:val="009C3FA8"/>
    <w:rsid w:val="009C63C1"/>
    <w:rsid w:val="009D69A5"/>
    <w:rsid w:val="009E1DC4"/>
    <w:rsid w:val="009E5D9C"/>
    <w:rsid w:val="009F051A"/>
    <w:rsid w:val="009F2D43"/>
    <w:rsid w:val="00A05134"/>
    <w:rsid w:val="00A15647"/>
    <w:rsid w:val="00A233C3"/>
    <w:rsid w:val="00A43F79"/>
    <w:rsid w:val="00A651BE"/>
    <w:rsid w:val="00A709AA"/>
    <w:rsid w:val="00A82B19"/>
    <w:rsid w:val="00AA3023"/>
    <w:rsid w:val="00AA4F26"/>
    <w:rsid w:val="00AA7922"/>
    <w:rsid w:val="00AB0364"/>
    <w:rsid w:val="00AB4176"/>
    <w:rsid w:val="00AD4C1F"/>
    <w:rsid w:val="00AF5755"/>
    <w:rsid w:val="00B14C7C"/>
    <w:rsid w:val="00B22E8F"/>
    <w:rsid w:val="00B273CF"/>
    <w:rsid w:val="00B326BE"/>
    <w:rsid w:val="00B42C9C"/>
    <w:rsid w:val="00B449C4"/>
    <w:rsid w:val="00B62883"/>
    <w:rsid w:val="00B84D5A"/>
    <w:rsid w:val="00B92E88"/>
    <w:rsid w:val="00B960EC"/>
    <w:rsid w:val="00BA72D3"/>
    <w:rsid w:val="00BF6C33"/>
    <w:rsid w:val="00BF6FD3"/>
    <w:rsid w:val="00BF79CE"/>
    <w:rsid w:val="00C06E19"/>
    <w:rsid w:val="00C1669B"/>
    <w:rsid w:val="00C170A4"/>
    <w:rsid w:val="00C2133A"/>
    <w:rsid w:val="00C214D8"/>
    <w:rsid w:val="00C2659E"/>
    <w:rsid w:val="00C34E97"/>
    <w:rsid w:val="00C543C7"/>
    <w:rsid w:val="00C6209C"/>
    <w:rsid w:val="00C7137B"/>
    <w:rsid w:val="00C73E21"/>
    <w:rsid w:val="00C754CC"/>
    <w:rsid w:val="00C772CB"/>
    <w:rsid w:val="00CB7902"/>
    <w:rsid w:val="00CC1040"/>
    <w:rsid w:val="00CC22EF"/>
    <w:rsid w:val="00CE2484"/>
    <w:rsid w:val="00D00562"/>
    <w:rsid w:val="00D03127"/>
    <w:rsid w:val="00D07E92"/>
    <w:rsid w:val="00D233B2"/>
    <w:rsid w:val="00D27C13"/>
    <w:rsid w:val="00D321F1"/>
    <w:rsid w:val="00D65ED2"/>
    <w:rsid w:val="00D83786"/>
    <w:rsid w:val="00D8747E"/>
    <w:rsid w:val="00DA5CDF"/>
    <w:rsid w:val="00DB1635"/>
    <w:rsid w:val="00DB6EEB"/>
    <w:rsid w:val="00DC6B62"/>
    <w:rsid w:val="00DE21B8"/>
    <w:rsid w:val="00DE21E6"/>
    <w:rsid w:val="00DE4E10"/>
    <w:rsid w:val="00DE6133"/>
    <w:rsid w:val="00DF6DC9"/>
    <w:rsid w:val="00E059AB"/>
    <w:rsid w:val="00E116FA"/>
    <w:rsid w:val="00E5550F"/>
    <w:rsid w:val="00E66A78"/>
    <w:rsid w:val="00E91EFC"/>
    <w:rsid w:val="00E93E8F"/>
    <w:rsid w:val="00EA4A4A"/>
    <w:rsid w:val="00EE08E0"/>
    <w:rsid w:val="00EE6778"/>
    <w:rsid w:val="00EE71CA"/>
    <w:rsid w:val="00EF6F33"/>
    <w:rsid w:val="00F0360D"/>
    <w:rsid w:val="00F15C0F"/>
    <w:rsid w:val="00F213CF"/>
    <w:rsid w:val="00F25725"/>
    <w:rsid w:val="00F408D8"/>
    <w:rsid w:val="00F4246E"/>
    <w:rsid w:val="00F53C8F"/>
    <w:rsid w:val="00F5785E"/>
    <w:rsid w:val="00F73CD2"/>
    <w:rsid w:val="00F84B46"/>
    <w:rsid w:val="00F8660C"/>
    <w:rsid w:val="00F94CF7"/>
    <w:rsid w:val="00FC1768"/>
    <w:rsid w:val="00FD3F8B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0BD62"/>
  <w14:defaultImageDpi w14:val="0"/>
  <w15:docId w15:val="{27891CB2-4F00-4E65-B1A9-F9BF6AD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43542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rsid w:val="00241199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241199"/>
    <w:rPr>
      <w:rFonts w:ascii="Tahoma" w:hAnsi="Tahoma"/>
      <w:sz w:val="16"/>
      <w:lang w:val="x-none" w:eastAsia="ru-RU"/>
    </w:rPr>
  </w:style>
  <w:style w:type="paragraph" w:styleId="a6">
    <w:name w:val="header"/>
    <w:basedOn w:val="a"/>
    <w:link w:val="a7"/>
    <w:uiPriority w:val="99"/>
    <w:rsid w:val="002B672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2B672F"/>
    <w:rPr>
      <w:rFonts w:ascii="Times New Roman" w:hAnsi="Times New Roman"/>
      <w:sz w:val="24"/>
      <w:lang w:val="x-none" w:eastAsia="ru-RU"/>
    </w:rPr>
  </w:style>
  <w:style w:type="paragraph" w:styleId="a8">
    <w:name w:val="footer"/>
    <w:basedOn w:val="a"/>
    <w:link w:val="a9"/>
    <w:uiPriority w:val="99"/>
    <w:rsid w:val="002B672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2B672F"/>
    <w:rPr>
      <w:rFonts w:ascii="Times New Roman" w:hAnsi="Times New Roman"/>
      <w:sz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FF6029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F6029"/>
    <w:rPr>
      <w:rFonts w:ascii="Times New Roman" w:hAnsi="Times New Roman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211D68"/>
    <w:pPr>
      <w:spacing w:after="200" w:line="276" w:lineRule="auto"/>
      <w:ind w:left="720"/>
      <w:contextualSpacing/>
    </w:pPr>
    <w:rPr>
      <w:rFonts w:eastAsia="Calibri"/>
      <w:sz w:val="28"/>
      <w:szCs w:val="32"/>
      <w:lang w:eastAsia="en-US"/>
    </w:rPr>
  </w:style>
  <w:style w:type="table" w:styleId="ab">
    <w:name w:val="Table Grid"/>
    <w:basedOn w:val="a1"/>
    <w:uiPriority w:val="99"/>
    <w:rsid w:val="0021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EE71CA"/>
    <w:rPr>
      <w:sz w:val="22"/>
      <w:szCs w:val="22"/>
      <w:lang w:eastAsia="en-US"/>
    </w:rPr>
  </w:style>
  <w:style w:type="paragraph" w:styleId="ad">
    <w:name w:val="Normal (Web)"/>
    <w:basedOn w:val="a"/>
    <w:uiPriority w:val="99"/>
    <w:locked/>
    <w:rsid w:val="0012394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7FC19-A3AC-4E46-AF4E-9BB53161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Гузель Фархатовна</cp:lastModifiedBy>
  <cp:revision>8</cp:revision>
  <cp:lastPrinted>2018-04-02T09:54:00Z</cp:lastPrinted>
  <dcterms:created xsi:type="dcterms:W3CDTF">2019-01-24T02:50:00Z</dcterms:created>
  <dcterms:modified xsi:type="dcterms:W3CDTF">2019-02-12T03:15:00Z</dcterms:modified>
</cp:coreProperties>
</file>